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83FA4">
      <w:pPr>
        <w:kinsoku w:val="0"/>
        <w:overflowPunct w:val="0"/>
        <w:autoSpaceDE/>
        <w:autoSpaceDN/>
        <w:adjustRightInd/>
        <w:spacing w:line="263"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TAT-3238-2017</w:t>
      </w:r>
    </w:p>
    <w:p w:rsidR="00000000" w:rsidRDefault="00983FA4">
      <w:pPr>
        <w:kinsoku w:val="0"/>
        <w:overflowPunct w:val="0"/>
        <w:autoSpaceDE/>
        <w:autoSpaceDN/>
        <w:adjustRightInd/>
        <w:spacing w:before="531" w:line="273" w:lineRule="exact"/>
        <w:ind w:right="21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cincuenta minutos del cuatro de abril de dos mil diecisiete. -</w:t>
      </w:r>
    </w:p>
    <w:p w:rsidR="00000000" w:rsidRDefault="00983FA4">
      <w:pPr>
        <w:kinsoku w:val="0"/>
        <w:overflowPunct w:val="0"/>
        <w:autoSpaceDE/>
        <w:autoSpaceDN/>
        <w:adjustRightInd/>
        <w:spacing w:before="253" w:line="273" w:lineRule="exact"/>
        <w:ind w:right="21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e incidente de Nulidad, </w:t>
      </w:r>
      <w:r>
        <w:rPr>
          <w:rFonts w:ascii="Verdana" w:hAnsi="Verdana" w:cs="Verdana"/>
          <w:sz w:val="22"/>
          <w:szCs w:val="22"/>
          <w:lang w:val="es-ES" w:eastAsia="es-ES"/>
        </w:rPr>
        <w:t xml:space="preserve">interpuesto por </w:t>
      </w:r>
      <w:r w:rsidRPr="002D2FEC">
        <w:rPr>
          <w:rFonts w:ascii="Verdana" w:hAnsi="Verdana" w:cs="Verdana"/>
          <w:b/>
          <w:bCs/>
          <w:sz w:val="22"/>
          <w:szCs w:val="22"/>
          <w:lang w:val="es-ES" w:eastAsia="es-ES"/>
        </w:rPr>
        <w:t>P</w:t>
      </w:r>
      <w:r w:rsidR="002D2FEC" w:rsidRPr="002D2FEC">
        <w:rPr>
          <w:rFonts w:ascii="Verdana" w:hAnsi="Verdana" w:cs="Verdana"/>
          <w:b/>
          <w:bCs/>
          <w:sz w:val="22"/>
          <w:szCs w:val="22"/>
          <w:lang w:val="es-ES" w:eastAsia="es-ES"/>
        </w:rPr>
        <w:t>.M.D.L.A.S.S.</w:t>
      </w:r>
      <w:r w:rsidRPr="002D2FEC">
        <w:rPr>
          <w:rFonts w:ascii="Verdana" w:hAnsi="Verdana" w:cs="Verdana"/>
          <w:b/>
          <w:bCs/>
          <w:sz w:val="22"/>
          <w:szCs w:val="22"/>
          <w:lang w:val="es-ES" w:eastAsia="es-ES"/>
        </w:rPr>
        <w:t>,</w:t>
      </w:r>
      <w:r>
        <w:rPr>
          <w:b/>
          <w:bCs/>
          <w:lang w:val="es-ES" w:eastAsia="es-ES"/>
        </w:rPr>
        <w:t xml:space="preserve"> </w:t>
      </w:r>
      <w:r>
        <w:rPr>
          <w:rFonts w:ascii="Verdana" w:hAnsi="Verdana" w:cs="Verdana"/>
          <w:b/>
          <w:bCs/>
          <w:sz w:val="22"/>
          <w:szCs w:val="22"/>
          <w:lang w:val="es-ES" w:eastAsia="es-ES"/>
        </w:rPr>
        <w:t xml:space="preserve">cédula de identidad número </w:t>
      </w:r>
      <w:r w:rsidR="002D2FEC">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w:t>
      </w:r>
      <w:r>
        <w:rPr>
          <w:rFonts w:ascii="Verdana" w:hAnsi="Verdana" w:cs="Verdana"/>
          <w:b/>
          <w:bCs/>
          <w:sz w:val="22"/>
          <w:szCs w:val="22"/>
          <w:lang w:val="es-ES" w:eastAsia="es-ES"/>
        </w:rPr>
        <w:t xml:space="preserve">ulo 7.2 de la Sesión Ordinaria 40-2016 de 18 de agosto 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TAT-026-17.</w:t>
      </w:r>
    </w:p>
    <w:p w:rsidR="00000000" w:rsidRDefault="00983FA4">
      <w:pPr>
        <w:kinsoku w:val="0"/>
        <w:overflowPunct w:val="0"/>
        <w:autoSpaceDE/>
        <w:autoSpaceDN/>
        <w:adjustRightInd/>
        <w:spacing w:before="265" w:line="263"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000000" w:rsidRDefault="00983FA4" w:rsidP="002D2FEC">
      <w:pPr>
        <w:kinsoku w:val="0"/>
        <w:overflowPunct w:val="0"/>
        <w:autoSpaceDE/>
        <w:autoSpaceDN/>
        <w:adjustRightInd/>
        <w:spacing w:before="272" w:line="268" w:lineRule="exact"/>
        <w:ind w:right="216"/>
        <w:jc w:val="both"/>
        <w:textAlignment w:val="baseline"/>
        <w:rPr>
          <w:rFonts w:ascii="Verdana" w:hAnsi="Verdana" w:cs="Verdana"/>
          <w:sz w:val="22"/>
          <w:szCs w:val="22"/>
          <w:lang w:val="es-ES" w:eastAsia="es-ES"/>
        </w:rPr>
      </w:pPr>
      <w:r>
        <w:rPr>
          <w:rFonts w:ascii="Verdana" w:hAnsi="Verdana" w:cs="Verdana"/>
          <w:b/>
          <w:bCs/>
          <w:spacing w:val="-2"/>
          <w:sz w:val="22"/>
          <w:szCs w:val="22"/>
          <w:lang w:val="es-ES" w:eastAsia="es-ES"/>
        </w:rPr>
        <w:t xml:space="preserve">PRIMERO: </w:t>
      </w:r>
      <w:r>
        <w:rPr>
          <w:rFonts w:ascii="Verdana" w:hAnsi="Verdana" w:cs="Verdana"/>
          <w:spacing w:val="-2"/>
          <w:sz w:val="22"/>
          <w:szCs w:val="22"/>
          <w:lang w:val="es-ES" w:eastAsia="es-ES"/>
        </w:rPr>
        <w:t>La JUNTA DIRECTIVA DE</w:t>
      </w:r>
      <w:r>
        <w:rPr>
          <w:rFonts w:ascii="Verdana" w:hAnsi="Verdana" w:cs="Verdana"/>
          <w:spacing w:val="-2"/>
          <w:sz w:val="22"/>
          <w:szCs w:val="22"/>
          <w:lang w:val="es-ES" w:eastAsia="es-ES"/>
        </w:rPr>
        <w:t xml:space="preserve">L CONSEJO DE TRANSPORTE PÚBLICO, mediante </w:t>
      </w:r>
      <w:r>
        <w:rPr>
          <w:rFonts w:ascii="Verdana" w:hAnsi="Verdana" w:cs="Verdana"/>
          <w:b/>
          <w:bCs/>
          <w:spacing w:val="-2"/>
          <w:sz w:val="22"/>
          <w:szCs w:val="22"/>
          <w:lang w:val="es-ES" w:eastAsia="es-ES"/>
        </w:rPr>
        <w:t xml:space="preserve">artículo 7.2 de la Sesión Ordinaria 40-2016 de 18 de agosto de 2016, </w:t>
      </w:r>
      <w:r>
        <w:rPr>
          <w:rFonts w:ascii="Verdana" w:hAnsi="Verdana" w:cs="Verdana"/>
          <w:spacing w:val="-2"/>
          <w:sz w:val="22"/>
          <w:szCs w:val="22"/>
          <w:lang w:val="es-ES" w:eastAsia="es-ES"/>
        </w:rPr>
        <w:t xml:space="preserve">acuerda "1. </w:t>
      </w:r>
      <w:r>
        <w:rPr>
          <w:rFonts w:ascii="Verdana" w:hAnsi="Verdana" w:cs="Verdana"/>
          <w:i/>
          <w:iCs/>
          <w:spacing w:val="-2"/>
          <w:sz w:val="22"/>
          <w:szCs w:val="22"/>
          <w:lang w:val="es-ES" w:eastAsia="es-ES"/>
        </w:rPr>
        <w:t xml:space="preserve">Aprobar, basados en los fundamentos, motivos y contenidos, desarrollados en los considerandos del oficio (sic) </w:t>
      </w:r>
      <w:r>
        <w:rPr>
          <w:rFonts w:ascii="Verdana" w:hAnsi="Verdana" w:cs="Verdana"/>
          <w:b/>
          <w:bCs/>
          <w:i/>
          <w:iCs/>
          <w:spacing w:val="-2"/>
          <w:sz w:val="22"/>
          <w:szCs w:val="22"/>
          <w:lang w:val="es-ES" w:eastAsia="es-ES"/>
        </w:rPr>
        <w:t>DA</w:t>
      </w:r>
      <w:r w:rsidR="002D2FEC">
        <w:rPr>
          <w:rFonts w:ascii="Verdana" w:hAnsi="Verdana" w:cs="Verdana"/>
          <w:b/>
          <w:bCs/>
          <w:i/>
          <w:iCs/>
          <w:spacing w:val="-2"/>
          <w:sz w:val="22"/>
          <w:szCs w:val="22"/>
          <w:lang w:val="es-ES" w:eastAsia="es-ES"/>
        </w:rPr>
        <w:t>J</w:t>
      </w:r>
      <w:r>
        <w:rPr>
          <w:rFonts w:ascii="Verdana" w:hAnsi="Verdana" w:cs="Verdana"/>
          <w:b/>
          <w:bCs/>
          <w:i/>
          <w:iCs/>
          <w:spacing w:val="-2"/>
          <w:sz w:val="22"/>
          <w:szCs w:val="22"/>
          <w:lang w:val="es-ES" w:eastAsia="es-ES"/>
        </w:rPr>
        <w:t xml:space="preserve"> 2016-002898 </w:t>
      </w:r>
      <w:r>
        <w:rPr>
          <w:rFonts w:ascii="Verdana" w:hAnsi="Verdana" w:cs="Verdana"/>
          <w:b/>
          <w:bCs/>
          <w:spacing w:val="-2"/>
          <w:sz w:val="22"/>
          <w:szCs w:val="22"/>
          <w:lang w:val="es-ES" w:eastAsia="es-ES"/>
        </w:rPr>
        <w:t xml:space="preserve">y </w:t>
      </w:r>
      <w:r>
        <w:rPr>
          <w:rFonts w:ascii="Verdana" w:hAnsi="Verdana" w:cs="Verdana"/>
          <w:b/>
          <w:bCs/>
          <w:i/>
          <w:iCs/>
          <w:spacing w:val="-2"/>
          <w:sz w:val="22"/>
          <w:szCs w:val="22"/>
          <w:lang w:val="es-ES" w:eastAsia="es-ES"/>
        </w:rPr>
        <w:t>DE 2</w:t>
      </w:r>
      <w:r>
        <w:rPr>
          <w:rFonts w:ascii="Verdana" w:hAnsi="Verdana" w:cs="Verdana"/>
          <w:b/>
          <w:bCs/>
          <w:i/>
          <w:iCs/>
          <w:spacing w:val="-2"/>
          <w:sz w:val="22"/>
          <w:szCs w:val="22"/>
          <w:lang w:val="es-ES" w:eastAsia="es-ES"/>
        </w:rPr>
        <w:t xml:space="preserve">016-2135, </w:t>
      </w:r>
      <w:r>
        <w:rPr>
          <w:rFonts w:ascii="Verdana" w:hAnsi="Verdana" w:cs="Verdana"/>
          <w:i/>
          <w:iCs/>
          <w:spacing w:val="-2"/>
          <w:sz w:val="22"/>
          <w:szCs w:val="22"/>
          <w:lang w:val="es-ES" w:eastAsia="es-ES"/>
        </w:rPr>
        <w:t>todas las recomendaciones emitidas en el mismo, el cual forma parte integral de este acuerdo. 2. Cancelar de manera automática la concesión de taxi a las siguientes personas, por vencimiento del plazo y no haber</w:t>
      </w:r>
      <w:r w:rsidR="002D2FEC">
        <w:rPr>
          <w:rFonts w:ascii="Verdana" w:hAnsi="Verdana" w:cs="Verdana"/>
          <w:i/>
          <w:iCs/>
          <w:spacing w:val="-2"/>
          <w:sz w:val="22"/>
          <w:szCs w:val="22"/>
          <w:lang w:val="es-ES" w:eastAsia="es-ES"/>
        </w:rPr>
        <w:t xml:space="preserve"> </w:t>
      </w:r>
      <w:r>
        <w:rPr>
          <w:rFonts w:ascii="Verdana" w:hAnsi="Verdana" w:cs="Verdana"/>
          <w:i/>
          <w:iCs/>
          <w:sz w:val="22"/>
          <w:szCs w:val="22"/>
          <w:lang w:val="es-ES" w:eastAsia="es-ES"/>
        </w:rPr>
        <w:t xml:space="preserve">gestionado la renovación antes de </w:t>
      </w:r>
      <w:r w:rsidR="002D2FEC">
        <w:rPr>
          <w:rFonts w:ascii="Verdana" w:hAnsi="Verdana" w:cs="Verdana"/>
          <w:i/>
          <w:iCs/>
          <w:sz w:val="22"/>
          <w:szCs w:val="22"/>
          <w:lang w:val="es-ES" w:eastAsia="es-ES"/>
        </w:rPr>
        <w:t>vencer la concesión:…..</w:t>
      </w:r>
      <w:r>
        <w:rPr>
          <w:rFonts w:ascii="Verdana" w:hAnsi="Verdana" w:cs="Verdana"/>
          <w:i/>
          <w:iCs/>
          <w:sz w:val="22"/>
          <w:szCs w:val="22"/>
          <w:lang w:val="es-ES" w:eastAsia="es-ES"/>
        </w:rPr>
        <w:tab/>
        <w:t>P</w:t>
      </w:r>
      <w:r w:rsidR="002D2FEC">
        <w:rPr>
          <w:rFonts w:ascii="Verdana" w:hAnsi="Verdana" w:cs="Verdana"/>
          <w:i/>
          <w:iCs/>
          <w:sz w:val="22"/>
          <w:szCs w:val="22"/>
          <w:lang w:val="es-ES" w:eastAsia="es-ES"/>
        </w:rPr>
        <w:t>.M.S.S.</w:t>
      </w:r>
      <w:r>
        <w:rPr>
          <w:rFonts w:ascii="Verdana" w:hAnsi="Verdana" w:cs="Verdana"/>
          <w:i/>
          <w:iCs/>
          <w:sz w:val="22"/>
          <w:szCs w:val="22"/>
          <w:lang w:val="es-ES" w:eastAsia="es-ES"/>
        </w:rPr>
        <w:t xml:space="preserve"> ... 3. Tener por canceladas las concesiones de Taxi indicadas en el punto anterior, dado que las mismas no se encuentran con plazo vigente, y los concesionarios nunca acudieron a la formalización de la</w:t>
      </w:r>
      <w:r>
        <w:rPr>
          <w:rFonts w:ascii="Verdana" w:hAnsi="Verdana" w:cs="Verdana"/>
          <w:i/>
          <w:iCs/>
          <w:sz w:val="22"/>
          <w:szCs w:val="22"/>
          <w:lang w:val="es-ES" w:eastAsia="es-ES"/>
        </w:rPr>
        <w:t xml:space="preserve"> renovación promovida por la Administración Concedente, ni tampoco solicitaron la renovación antes del vencimiento de la concesión... 4. Instruir al Departamento de Administración de Concesiones y Permisos, realice los trámites necesarios y pertinentes, pa</w:t>
      </w:r>
      <w:r>
        <w:rPr>
          <w:rFonts w:ascii="Verdana" w:hAnsi="Verdana" w:cs="Verdana"/>
          <w:i/>
          <w:iCs/>
          <w:sz w:val="22"/>
          <w:szCs w:val="22"/>
          <w:lang w:val="es-ES" w:eastAsia="es-ES"/>
        </w:rPr>
        <w:t>ra desinscribir los códigos de servicio público (placas de Taxi) de las unidades de taxi indicadas supra, ante el Registro Nacional, recuperar las placas metálicas, e informar a las autoridades competentes. Para tales efectos se le remiten los ciento sesen</w:t>
      </w:r>
      <w:r>
        <w:rPr>
          <w:rFonts w:ascii="Verdana" w:hAnsi="Verdana" w:cs="Verdana"/>
          <w:i/>
          <w:iCs/>
          <w:sz w:val="22"/>
          <w:szCs w:val="22"/>
          <w:lang w:val="es-ES" w:eastAsia="es-ES"/>
        </w:rPr>
        <w:t xml:space="preserve">ta y cinco expedientes de dichas placas que se encuentran en la Secretaria de Actas..."(Léanse </w:t>
      </w:r>
      <w:r>
        <w:rPr>
          <w:rFonts w:ascii="Verdana" w:hAnsi="Verdana" w:cs="Verdana"/>
          <w:sz w:val="22"/>
          <w:szCs w:val="22"/>
          <w:lang w:val="es-ES" w:eastAsia="es-ES"/>
        </w:rPr>
        <w:t>folios del 32 al 39 del expediente administrativo)</w:t>
      </w:r>
    </w:p>
    <w:p w:rsidR="00000000" w:rsidRDefault="00983FA4" w:rsidP="002D2FEC">
      <w:pPr>
        <w:kinsoku w:val="0"/>
        <w:overflowPunct w:val="0"/>
        <w:autoSpaceDE/>
        <w:autoSpaceDN/>
        <w:adjustRightInd/>
        <w:spacing w:before="267" w:after="619" w:line="273" w:lineRule="exact"/>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SEGUNDO: </w:t>
      </w:r>
      <w:r>
        <w:rPr>
          <w:rFonts w:ascii="Verdana" w:hAnsi="Verdana" w:cs="Verdana"/>
          <w:spacing w:val="-1"/>
          <w:sz w:val="22"/>
          <w:szCs w:val="22"/>
          <w:lang w:val="es-ES" w:eastAsia="es-ES"/>
        </w:rPr>
        <w:t>La recurrente manifiesta en su líbelo que se le ha dejado en total incerteza jurídica e indefensió</w:t>
      </w:r>
      <w:r>
        <w:rPr>
          <w:rFonts w:ascii="Verdana" w:hAnsi="Verdana" w:cs="Verdana"/>
          <w:spacing w:val="-1"/>
          <w:sz w:val="22"/>
          <w:szCs w:val="22"/>
          <w:lang w:val="es-ES" w:eastAsia="es-ES"/>
        </w:rPr>
        <w:t>n pues nada de lo notificado se le ha comunicado</w:t>
      </w:r>
      <w:r w:rsidR="002D2FEC">
        <w:rPr>
          <w:rFonts w:ascii="Verdana" w:hAnsi="Verdana" w:cs="Verdana"/>
          <w:spacing w:val="-1"/>
          <w:sz w:val="22"/>
          <w:szCs w:val="22"/>
          <w:lang w:val="es-ES" w:eastAsia="es-ES"/>
        </w:rPr>
        <w:t xml:space="preserve"> </w:t>
      </w:r>
      <w:r>
        <w:rPr>
          <w:rFonts w:ascii="Verdana" w:hAnsi="Verdana" w:cs="Verdana"/>
          <w:spacing w:val="-1"/>
          <w:sz w:val="22"/>
          <w:szCs w:val="22"/>
          <w:lang w:val="es-ES" w:eastAsia="es-ES"/>
        </w:rPr>
        <w:t xml:space="preserve">al último correo que se designara, el </w:t>
      </w:r>
      <w:hyperlink r:id="rId5" w:history="1">
        <w:r w:rsidR="002D2FEC" w:rsidRPr="002D2FEC">
          <w:rPr>
            <w:rStyle w:val="Hipervnculo"/>
            <w:rFonts w:ascii="Verdana" w:hAnsi="Verdana" w:cs="Verdana"/>
            <w:color w:val="000000" w:themeColor="text1"/>
            <w:spacing w:val="-1"/>
            <w:sz w:val="22"/>
            <w:szCs w:val="22"/>
            <w:lang w:val="es-ES" w:eastAsia="es-ES"/>
          </w:rPr>
          <w:t>xxxxxxx@man.com</w:t>
        </w:r>
      </w:hyperlink>
      <w:r>
        <w:rPr>
          <w:rFonts w:ascii="Verdana" w:hAnsi="Verdana" w:cs="Verdana"/>
          <w:spacing w:val="-1"/>
          <w:sz w:val="22"/>
          <w:szCs w:val="22"/>
          <w:u w:val="single"/>
          <w:lang w:val="es-ES" w:eastAsia="es-ES"/>
        </w:rPr>
        <w:t>.</w:t>
      </w:r>
      <w:r>
        <w:rPr>
          <w:rFonts w:ascii="Verdana" w:hAnsi="Verdana" w:cs="Verdana"/>
          <w:spacing w:val="-1"/>
          <w:sz w:val="22"/>
          <w:szCs w:val="22"/>
          <w:lang w:val="es-ES" w:eastAsia="es-ES"/>
        </w:rPr>
        <w:t xml:space="preserve"> por lo que existe</w:t>
      </w:r>
      <w:r>
        <w:rPr>
          <w:rFonts w:ascii="Verdana" w:hAnsi="Verdana" w:cs="Verdana"/>
          <w:spacing w:val="-1"/>
          <w:sz w:val="22"/>
          <w:szCs w:val="22"/>
          <w:lang w:val="es-ES" w:eastAsia="es-ES"/>
        </w:rPr>
        <w:t xml:space="preserve"> </w:t>
      </w:r>
      <w:r>
        <w:rPr>
          <w:rFonts w:ascii="Verdana" w:hAnsi="Verdana" w:cs="Verdana"/>
          <w:spacing w:val="-1"/>
          <w:sz w:val="22"/>
          <w:szCs w:val="22"/>
          <w:lang w:val="es-ES" w:eastAsia="es-ES"/>
        </w:rPr>
        <w:t>nulidad de lo actuado pues nunca se le notificó en debida forma, por otro lado, es mayor la nulidad pues se trata de una citación para firmar la que no se dirige</w:t>
      </w:r>
    </w:p>
    <w:p w:rsidR="00000000" w:rsidRDefault="00983FA4">
      <w:pPr>
        <w:widowControl/>
        <w:rPr>
          <w:sz w:val="24"/>
          <w:szCs w:val="24"/>
        </w:rPr>
        <w:sectPr w:rsidR="00000000">
          <w:pgSz w:w="12254" w:h="15763"/>
          <w:pgMar w:top="1260" w:right="1499" w:bottom="327" w:left="1675" w:header="720" w:footer="720" w:gutter="0"/>
          <w:cols w:space="720"/>
          <w:noEndnote/>
        </w:sectPr>
      </w:pPr>
    </w:p>
    <w:p w:rsidR="00000000" w:rsidRDefault="00983FA4">
      <w:pPr>
        <w:kinsoku w:val="0"/>
        <w:overflowPunct w:val="0"/>
        <w:autoSpaceDE/>
        <w:autoSpaceDN/>
        <w:adjustRightInd/>
        <w:spacing w:before="45" w:line="266"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lastRenderedPageBreak/>
        <w:t>por el numeral 243 de la Ley General de la Administración Pública sino por el numeral 248 y siguientes del mismo cuerpo Legal. Se indica que la concesión venció y no la renovó lo cual no es cierto pues si lo hizo, además no se determina cual es la falta qu</w:t>
      </w:r>
      <w:r>
        <w:rPr>
          <w:rFonts w:ascii="Verdana" w:hAnsi="Verdana" w:cs="Verdana"/>
          <w:spacing w:val="-3"/>
          <w:sz w:val="22"/>
          <w:szCs w:val="22"/>
          <w:lang w:val="es-ES" w:eastAsia="es-ES"/>
        </w:rPr>
        <w:t xml:space="preserve">e cometió y donde está tipificada, en resumen, indica que el acto adolece de falta de motivación. En el caso de marras opera también la figura del caso fortuito y la fuerza mayor dado que a ella le jaquearon su correo con las consecuencias del caso por lo </w:t>
      </w:r>
      <w:r>
        <w:rPr>
          <w:rFonts w:ascii="Verdana" w:hAnsi="Verdana" w:cs="Verdana"/>
          <w:spacing w:val="-3"/>
          <w:sz w:val="22"/>
          <w:szCs w:val="22"/>
          <w:lang w:val="es-ES" w:eastAsia="es-ES"/>
        </w:rPr>
        <w:t>que no puede existir sanción en su contra. Existe además falta al debido proceso e infracción al principio de intangibilidad de los actos propios, pues la sanción no fue precedida de un debido proceso, con oportunidad para defenderse en audiencia y aportar</w:t>
      </w:r>
      <w:r>
        <w:rPr>
          <w:rFonts w:ascii="Verdana" w:hAnsi="Verdana" w:cs="Verdana"/>
          <w:spacing w:val="-3"/>
          <w:sz w:val="22"/>
          <w:szCs w:val="22"/>
          <w:lang w:val="es-ES" w:eastAsia="es-ES"/>
        </w:rPr>
        <w:t xml:space="preserve"> las pruebas de descargo. Por otro lado, indica que, con la Ley de Taxis actual, las concesiones pasan a tener un carácter social, por lo que no ve por qué dársele una nueva cita. Solicita se suspenda cualquier aplicación del acto hasta que se resuelvan lo</w:t>
      </w:r>
      <w:r>
        <w:rPr>
          <w:rFonts w:ascii="Verdana" w:hAnsi="Verdana" w:cs="Verdana"/>
          <w:spacing w:val="-3"/>
          <w:sz w:val="22"/>
          <w:szCs w:val="22"/>
          <w:lang w:val="es-ES" w:eastAsia="es-ES"/>
        </w:rPr>
        <w:t>s recursos. Solicita una nueva cita la que se debe notificar a la oficina indicada. (léanse folios del 7 al 31 del expediente administrativo)</w:t>
      </w:r>
    </w:p>
    <w:p w:rsidR="00000000" w:rsidRDefault="00983FA4">
      <w:pPr>
        <w:kinsoku w:val="0"/>
        <w:overflowPunct w:val="0"/>
        <w:autoSpaceDE/>
        <w:autoSpaceDN/>
        <w:adjustRightInd/>
        <w:spacing w:before="275"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acuerdo 7.4.3 de la Sesión Ordinaria 03-20</w:t>
      </w:r>
      <w:r>
        <w:rPr>
          <w:rFonts w:ascii="Verdana" w:hAnsi="Verdana" w:cs="Verdana"/>
          <w:b/>
          <w:bCs/>
          <w:sz w:val="22"/>
          <w:szCs w:val="22"/>
          <w:lang w:val="es-ES" w:eastAsia="es-ES"/>
        </w:rPr>
        <w:t xml:space="preserve">17 de 1 de febrero de 2017,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DAJ-2017-000187 de 20 de enero de 2017 y rechaza el recurso de Revocatoria y la Nulidad invocadas por falta de legitimación de quien actúa en representación de la co</w:t>
      </w:r>
      <w:r>
        <w:rPr>
          <w:rFonts w:ascii="Verdana" w:hAnsi="Verdana" w:cs="Verdana"/>
          <w:b/>
          <w:bCs/>
          <w:sz w:val="22"/>
          <w:szCs w:val="22"/>
          <w:lang w:val="es-ES" w:eastAsia="es-ES"/>
        </w:rPr>
        <w:t xml:space="preserve">ncesionaria por no aportar el Poder que lo faculte a recurrir en su nombre. </w:t>
      </w:r>
      <w:r>
        <w:rPr>
          <w:rFonts w:ascii="Verdana" w:hAnsi="Verdana" w:cs="Verdana"/>
          <w:sz w:val="22"/>
          <w:szCs w:val="22"/>
          <w:lang w:val="es-ES" w:eastAsia="es-ES"/>
        </w:rPr>
        <w:t>(léanse folios del 1 al 5 del expediente administrativo)</w:t>
      </w:r>
    </w:p>
    <w:p w:rsidR="00000000" w:rsidRDefault="00983FA4">
      <w:pPr>
        <w:kinsoku w:val="0"/>
        <w:overflowPunct w:val="0"/>
        <w:autoSpaceDE/>
        <w:autoSpaceDN/>
        <w:adjustRightInd/>
        <w:spacing w:before="273" w:line="26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El Tribunal previene a la recurrente para que se refiera al acuerdo que le rechaza la revocatoria y ésta se aperson</w:t>
      </w:r>
      <w:r>
        <w:rPr>
          <w:rFonts w:ascii="Verdana" w:hAnsi="Verdana" w:cs="Verdana"/>
          <w:sz w:val="22"/>
          <w:szCs w:val="22"/>
          <w:lang w:val="es-ES" w:eastAsia="es-ES"/>
        </w:rPr>
        <w:t>a el día 15 de febrero de 2017 y manifiesta que mantiene en todos sus extremos el recurso presentado en su nombre por el señor R</w:t>
      </w:r>
      <w:r w:rsidR="002D2FEC">
        <w:rPr>
          <w:rFonts w:ascii="Verdana" w:hAnsi="Verdana" w:cs="Verdana"/>
          <w:sz w:val="22"/>
          <w:szCs w:val="22"/>
          <w:lang w:val="es-ES" w:eastAsia="es-ES"/>
        </w:rPr>
        <w:t>.V.C.</w:t>
      </w:r>
      <w:r>
        <w:rPr>
          <w:rFonts w:ascii="Verdana" w:hAnsi="Verdana" w:cs="Verdana"/>
          <w:sz w:val="22"/>
          <w:szCs w:val="22"/>
          <w:lang w:val="es-ES" w:eastAsia="es-ES"/>
        </w:rPr>
        <w:t xml:space="preserve"> cédula de identidad </w:t>
      </w:r>
      <w:r w:rsidR="002D2FEC">
        <w:rPr>
          <w:rFonts w:ascii="Verdana" w:hAnsi="Verdana" w:cs="Verdana"/>
          <w:sz w:val="22"/>
          <w:szCs w:val="22"/>
          <w:lang w:val="es-ES" w:eastAsia="es-ES"/>
        </w:rPr>
        <w:t>…</w:t>
      </w:r>
      <w:r>
        <w:rPr>
          <w:rFonts w:ascii="Verdana" w:hAnsi="Verdana" w:cs="Verdana"/>
          <w:sz w:val="22"/>
          <w:szCs w:val="22"/>
          <w:lang w:val="es-ES" w:eastAsia="es-ES"/>
        </w:rPr>
        <w:t xml:space="preserve"> y en el acto le otorga un poder especial, para todo lo que tenga que ver con </w:t>
      </w:r>
      <w:r>
        <w:rPr>
          <w:rFonts w:ascii="Verdana" w:hAnsi="Verdana" w:cs="Verdana"/>
          <w:sz w:val="22"/>
          <w:szCs w:val="22"/>
          <w:lang w:val="es-ES" w:eastAsia="es-ES"/>
        </w:rPr>
        <w:t>el recurso presentado contra el acuerdo impugnado.(Léase folio 89 del expediente administrativo)</w:t>
      </w:r>
    </w:p>
    <w:p w:rsidR="00000000" w:rsidRDefault="00983FA4">
      <w:pPr>
        <w:kinsoku w:val="0"/>
        <w:overflowPunct w:val="0"/>
        <w:autoSpaceDE/>
        <w:autoSpaceDN/>
        <w:adjustRightInd/>
        <w:spacing w:before="271" w:line="26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El Tribunal Administrativo de Transporte, previene al Consejo de Transporte Público, indicándole que se refiera al hecho de si previno a la recurrente </w:t>
      </w:r>
      <w:r>
        <w:rPr>
          <w:rFonts w:ascii="Verdana" w:hAnsi="Verdana" w:cs="Verdana"/>
          <w:sz w:val="22"/>
          <w:szCs w:val="22"/>
          <w:lang w:val="es-ES" w:eastAsia="es-ES"/>
        </w:rPr>
        <w:t>que aportara el Mandato requerido para Legitimar al señor R</w:t>
      </w:r>
      <w:r w:rsidR="002D2FEC">
        <w:rPr>
          <w:rFonts w:ascii="Verdana" w:hAnsi="Verdana" w:cs="Verdana"/>
          <w:sz w:val="22"/>
          <w:szCs w:val="22"/>
          <w:lang w:val="es-ES" w:eastAsia="es-ES"/>
        </w:rPr>
        <w:t>.V.C.</w:t>
      </w:r>
      <w:r>
        <w:rPr>
          <w:rFonts w:ascii="Verdana" w:hAnsi="Verdana" w:cs="Verdana"/>
          <w:sz w:val="22"/>
          <w:szCs w:val="22"/>
          <w:lang w:val="es-ES" w:eastAsia="es-ES"/>
        </w:rPr>
        <w:t xml:space="preserve"> como su representante y el CTP mediante nota SDA/CTP-17-02-00047 de 28 de febrero de 2017 indica que no se hizo. (Léanse folios 193, 198 y 199 del expediente administrativo)</w:t>
      </w:r>
    </w:p>
    <w:p w:rsidR="00000000" w:rsidRDefault="00983FA4">
      <w:pPr>
        <w:kinsoku w:val="0"/>
        <w:overflowPunct w:val="0"/>
        <w:autoSpaceDE/>
        <w:autoSpaceDN/>
        <w:adjustRightInd/>
        <w:spacing w:before="270" w:line="273"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SEXT</w:t>
      </w:r>
      <w:r>
        <w:rPr>
          <w:rFonts w:ascii="Verdana" w:hAnsi="Verdana" w:cs="Verdana"/>
          <w:b/>
          <w:bCs/>
          <w:sz w:val="22"/>
          <w:szCs w:val="22"/>
          <w:lang w:val="es-ES" w:eastAsia="es-ES"/>
        </w:rPr>
        <w:t xml:space="preserve">O: </w:t>
      </w:r>
      <w:r>
        <w:rPr>
          <w:rFonts w:ascii="Verdana" w:hAnsi="Verdana" w:cs="Verdana"/>
          <w:sz w:val="22"/>
          <w:szCs w:val="22"/>
          <w:lang w:val="es-ES" w:eastAsia="es-ES"/>
        </w:rPr>
        <w:t>En los procedimientos seguidos se han observado las prescripciones legales.</w:t>
      </w:r>
    </w:p>
    <w:p w:rsidR="00000000" w:rsidRDefault="00983FA4">
      <w:pPr>
        <w:kinsoku w:val="0"/>
        <w:overflowPunct w:val="0"/>
        <w:autoSpaceDE/>
        <w:autoSpaceDN/>
        <w:adjustRightInd/>
        <w:spacing w:before="270" w:line="268"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Redacta la Jueza Pérez Peláez; y,</w:t>
      </w:r>
    </w:p>
    <w:p w:rsidR="00000000" w:rsidRDefault="00983FA4">
      <w:pPr>
        <w:kinsoku w:val="0"/>
        <w:overflowPunct w:val="0"/>
        <w:autoSpaceDE/>
        <w:autoSpaceDN/>
        <w:adjustRightInd/>
        <w:spacing w:before="539" w:after="872" w:line="268" w:lineRule="exact"/>
        <w:ind w:left="72" w:righ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CONSIDERANDO</w:t>
      </w:r>
    </w:p>
    <w:p w:rsidR="00000000" w:rsidRDefault="00983FA4">
      <w:pPr>
        <w:widowControl/>
        <w:rPr>
          <w:sz w:val="24"/>
          <w:szCs w:val="24"/>
        </w:rPr>
        <w:sectPr w:rsidR="00000000">
          <w:pgSz w:w="12254" w:h="15763"/>
          <w:pgMar w:top="1480" w:right="1570" w:bottom="221" w:left="1604" w:header="720" w:footer="720" w:gutter="0"/>
          <w:cols w:space="720"/>
          <w:noEndnote/>
        </w:sectPr>
      </w:pPr>
    </w:p>
    <w:p w:rsidR="00000000" w:rsidRDefault="00983FA4">
      <w:pPr>
        <w:widowControl/>
        <w:rPr>
          <w:sz w:val="24"/>
          <w:szCs w:val="24"/>
        </w:rPr>
        <w:sectPr w:rsidR="00000000">
          <w:type w:val="continuous"/>
          <w:pgSz w:w="12254" w:h="15763"/>
          <w:pgMar w:top="1480" w:right="1656" w:bottom="221" w:left="7498" w:header="720" w:footer="720" w:gutter="0"/>
          <w:cols w:space="720"/>
          <w:noEndnote/>
        </w:sectPr>
      </w:pPr>
    </w:p>
    <w:p w:rsidR="00000000" w:rsidRDefault="00983FA4">
      <w:pPr>
        <w:kinsoku w:val="0"/>
        <w:overflowPunct w:val="0"/>
        <w:autoSpaceDE/>
        <w:autoSpaceDN/>
        <w:adjustRightInd/>
        <w:spacing w:before="7" w:line="270"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1.- 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w:t>
      </w:r>
      <w:r>
        <w:rPr>
          <w:rFonts w:ascii="Verdana" w:hAnsi="Verdana" w:cs="Verdana"/>
          <w:sz w:val="22"/>
          <w:szCs w:val="22"/>
          <w:lang w:val="es-ES" w:eastAsia="es-ES"/>
        </w:rPr>
        <w:t xml:space="preserve"> la Modalidad de Taxi, N. 7969 del 22 de diciembre de 1999.</w:t>
      </w:r>
    </w:p>
    <w:p w:rsidR="00000000" w:rsidRDefault="00983FA4">
      <w:pPr>
        <w:kinsoku w:val="0"/>
        <w:overflowPunct w:val="0"/>
        <w:autoSpaceDE/>
        <w:autoSpaceDN/>
        <w:adjustRightInd/>
        <w:spacing w:before="245" w:line="271" w:lineRule="exact"/>
        <w:ind w:left="144" w:right="72"/>
        <w:jc w:val="both"/>
        <w:textAlignment w:val="baseline"/>
        <w:rPr>
          <w:rFonts w:ascii="Verdana" w:hAnsi="Verdana" w:cs="Verdana"/>
          <w:spacing w:val="-6"/>
          <w:sz w:val="22"/>
          <w:szCs w:val="22"/>
          <w:lang w:val="es-ES" w:eastAsia="es-ES"/>
        </w:rPr>
      </w:pPr>
      <w:r>
        <w:rPr>
          <w:rFonts w:ascii="Verdana" w:hAnsi="Verdana" w:cs="Verdana"/>
          <w:b/>
          <w:bCs/>
          <w:spacing w:val="-6"/>
          <w:sz w:val="22"/>
          <w:szCs w:val="22"/>
          <w:lang w:val="es-ES" w:eastAsia="es-ES"/>
        </w:rPr>
        <w:t xml:space="preserve">2.- SOBRE LA ADMISIBILIDAD DEL RECURSO: </w:t>
      </w:r>
      <w:r>
        <w:rPr>
          <w:rFonts w:ascii="Verdana" w:hAnsi="Verdana" w:cs="Verdana"/>
          <w:b/>
          <w:bCs/>
          <w:spacing w:val="-6"/>
          <w:sz w:val="22"/>
          <w:szCs w:val="22"/>
          <w:u w:val="single"/>
          <w:lang w:val="es-ES" w:eastAsia="es-ES"/>
        </w:rPr>
        <w:t>Legitimación:</w:t>
      </w:r>
      <w:r>
        <w:rPr>
          <w:rFonts w:ascii="Verdana" w:hAnsi="Verdana" w:cs="Verdana"/>
          <w:spacing w:val="-6"/>
          <w:sz w:val="22"/>
          <w:szCs w:val="22"/>
          <w:lang w:val="es-ES" w:eastAsia="es-ES"/>
        </w:rPr>
        <w:t xml:space="preserve"> A </w:t>
      </w:r>
      <w:r>
        <w:rPr>
          <w:rFonts w:ascii="Verdana" w:hAnsi="Verdana" w:cs="Verdana"/>
          <w:b/>
          <w:bCs/>
          <w:spacing w:val="-6"/>
          <w:sz w:val="22"/>
          <w:szCs w:val="22"/>
          <w:lang w:val="es-ES" w:eastAsia="es-ES"/>
        </w:rPr>
        <w:t>P</w:t>
      </w:r>
      <w:r w:rsidR="002D2FEC">
        <w:rPr>
          <w:rFonts w:ascii="Verdana" w:hAnsi="Verdana" w:cs="Verdana"/>
          <w:b/>
          <w:bCs/>
          <w:spacing w:val="-6"/>
          <w:sz w:val="22"/>
          <w:szCs w:val="22"/>
          <w:lang w:val="es-ES" w:eastAsia="es-ES"/>
        </w:rPr>
        <w:t>.M.D.L.A.S.S.</w:t>
      </w:r>
      <w:r>
        <w:rPr>
          <w:rFonts w:ascii="Verdana" w:hAnsi="Verdana" w:cs="Verdana"/>
          <w:b/>
          <w:bCs/>
          <w:spacing w:val="-6"/>
          <w:sz w:val="22"/>
          <w:szCs w:val="22"/>
          <w:lang w:val="es-ES" w:eastAsia="es-ES"/>
        </w:rPr>
        <w:t xml:space="preserve">, cédula de identidad número </w:t>
      </w:r>
      <w:r w:rsidR="002D2FEC">
        <w:rPr>
          <w:rFonts w:ascii="Verdana" w:hAnsi="Verdana" w:cs="Verdana"/>
          <w:b/>
          <w:bCs/>
          <w:spacing w:val="-6"/>
          <w:sz w:val="22"/>
          <w:szCs w:val="22"/>
          <w:lang w:val="es-ES" w:eastAsia="es-ES"/>
        </w:rPr>
        <w:t>…</w:t>
      </w:r>
      <w:r>
        <w:rPr>
          <w:rFonts w:ascii="Verdana" w:hAnsi="Verdana" w:cs="Verdana"/>
          <w:b/>
          <w:bCs/>
          <w:spacing w:val="-6"/>
          <w:sz w:val="22"/>
          <w:szCs w:val="22"/>
          <w:lang w:val="es-ES" w:eastAsia="es-ES"/>
        </w:rPr>
        <w:t xml:space="preserve">, </w:t>
      </w:r>
      <w:r>
        <w:rPr>
          <w:rFonts w:ascii="Verdana" w:hAnsi="Verdana" w:cs="Verdana"/>
          <w:spacing w:val="-6"/>
          <w:sz w:val="22"/>
          <w:szCs w:val="22"/>
          <w:lang w:val="es-ES" w:eastAsia="es-ES"/>
        </w:rPr>
        <w:t>le caducaron con el acuerdo impugnado, la concesión de</w:t>
      </w:r>
      <w:r>
        <w:rPr>
          <w:rFonts w:ascii="Verdana" w:hAnsi="Verdana" w:cs="Verdana"/>
          <w:spacing w:val="-6"/>
          <w:sz w:val="22"/>
          <w:szCs w:val="22"/>
          <w:lang w:val="es-ES" w:eastAsia="es-ES"/>
        </w:rPr>
        <w:t xml:space="preserve"> taxi </w:t>
      </w:r>
      <w:r w:rsidR="002D2FEC">
        <w:rPr>
          <w:rFonts w:ascii="Verdana" w:hAnsi="Verdana" w:cs="Verdana"/>
          <w:b/>
          <w:bCs/>
          <w:i/>
          <w:iCs/>
          <w:spacing w:val="-6"/>
          <w:sz w:val="22"/>
          <w:szCs w:val="22"/>
          <w:lang w:val="es-ES" w:eastAsia="es-ES"/>
        </w:rPr>
        <w:t>TSJ</w:t>
      </w:r>
      <w:r>
        <w:rPr>
          <w:rFonts w:ascii="Verdana" w:hAnsi="Verdana" w:cs="Verdana"/>
          <w:b/>
          <w:bCs/>
          <w:i/>
          <w:iCs/>
          <w:spacing w:val="-6"/>
          <w:sz w:val="22"/>
          <w:szCs w:val="22"/>
          <w:lang w:val="es-ES" w:eastAsia="es-ES"/>
        </w:rPr>
        <w:t>-</w:t>
      </w:r>
      <w:r w:rsidR="002D2FEC">
        <w:rPr>
          <w:rFonts w:ascii="Verdana" w:hAnsi="Verdana" w:cs="Verdana"/>
          <w:b/>
          <w:bCs/>
          <w:i/>
          <w:iCs/>
          <w:spacing w:val="-6"/>
          <w:sz w:val="22"/>
          <w:szCs w:val="22"/>
          <w:lang w:val="es-ES" w:eastAsia="es-ES"/>
        </w:rPr>
        <w:t>XXXX</w:t>
      </w:r>
      <w:r>
        <w:rPr>
          <w:rFonts w:ascii="Verdana" w:hAnsi="Verdana" w:cs="Verdana"/>
          <w:b/>
          <w:bCs/>
          <w:i/>
          <w:iCs/>
          <w:spacing w:val="-6"/>
          <w:sz w:val="22"/>
          <w:szCs w:val="22"/>
          <w:lang w:val="es-ES" w:eastAsia="es-ES"/>
        </w:rPr>
        <w:t xml:space="preserve">, </w:t>
      </w:r>
      <w:r>
        <w:rPr>
          <w:rFonts w:ascii="Verdana" w:hAnsi="Verdana" w:cs="Verdana"/>
          <w:spacing w:val="-6"/>
          <w:sz w:val="22"/>
          <w:szCs w:val="22"/>
          <w:lang w:val="es-ES" w:eastAsia="es-ES"/>
        </w:rPr>
        <w:t xml:space="preserve">por lo que cuenta con la legitimación necesaria para actuar en el presente asunto. </w:t>
      </w:r>
      <w:r>
        <w:rPr>
          <w:rFonts w:ascii="Verdana" w:hAnsi="Verdana" w:cs="Verdana"/>
          <w:b/>
          <w:bCs/>
          <w:spacing w:val="-6"/>
          <w:sz w:val="22"/>
          <w:szCs w:val="22"/>
          <w:u w:val="single"/>
          <w:lang w:val="es-ES" w:eastAsia="es-ES"/>
        </w:rPr>
        <w:t>En cuanto al plazo:</w:t>
      </w:r>
      <w:r>
        <w:rPr>
          <w:rFonts w:ascii="Verdana" w:hAnsi="Verdana" w:cs="Verdana"/>
          <w:spacing w:val="-6"/>
          <w:sz w:val="22"/>
          <w:szCs w:val="22"/>
          <w:lang w:val="es-ES" w:eastAsia="es-ES"/>
        </w:rPr>
        <w:t xml:space="preserve"> El Recurso de Apelación fue presentado dentro del plazo legal de cinco días establecido en el artículo 11 de la Ley N. 7969, ya que</w:t>
      </w:r>
      <w:r>
        <w:rPr>
          <w:rFonts w:ascii="Verdana" w:hAnsi="Verdana" w:cs="Verdana"/>
          <w:spacing w:val="-6"/>
          <w:sz w:val="22"/>
          <w:szCs w:val="22"/>
          <w:lang w:val="es-ES" w:eastAsia="es-ES"/>
        </w:rPr>
        <w:t xml:space="preserve"> el acuerdo fue notificado el día 22 de agosto de 2016, ver folio 40 del expediente y el recurso fue presentado el 30 del mismo mes y año.</w:t>
      </w:r>
    </w:p>
    <w:p w:rsidR="00000000" w:rsidRDefault="00983FA4">
      <w:pPr>
        <w:kinsoku w:val="0"/>
        <w:overflowPunct w:val="0"/>
        <w:autoSpaceDE/>
        <w:autoSpaceDN/>
        <w:adjustRightInd/>
        <w:spacing w:before="253" w:line="271" w:lineRule="exact"/>
        <w:ind w:left="144" w:right="72"/>
        <w:jc w:val="both"/>
        <w:textAlignment w:val="baseline"/>
        <w:rPr>
          <w:rFonts w:ascii="Verdana" w:hAnsi="Verdana" w:cs="Verdana"/>
          <w:spacing w:val="-6"/>
          <w:sz w:val="22"/>
          <w:szCs w:val="22"/>
          <w:lang w:val="es-ES" w:eastAsia="es-ES"/>
        </w:rPr>
      </w:pPr>
      <w:r>
        <w:rPr>
          <w:rFonts w:ascii="Verdana" w:hAnsi="Verdana" w:cs="Verdana"/>
          <w:b/>
          <w:bCs/>
          <w:spacing w:val="-6"/>
          <w:sz w:val="22"/>
          <w:szCs w:val="22"/>
          <w:lang w:val="es-ES" w:eastAsia="es-ES"/>
        </w:rPr>
        <w:t xml:space="preserve">3.- HECHOS PROBADOS DE IMPORTANCIA PARA ESTE ASUNTO: A). - </w:t>
      </w:r>
      <w:r>
        <w:rPr>
          <w:rFonts w:ascii="Verdana" w:hAnsi="Verdana" w:cs="Verdana"/>
          <w:spacing w:val="-6"/>
          <w:sz w:val="22"/>
          <w:szCs w:val="22"/>
          <w:lang w:val="es-ES" w:eastAsia="es-ES"/>
        </w:rPr>
        <w:t>La JUNTA DIRECTIVA DEL CONSEJO DE TRANSPORTE PÚBLICO, medi</w:t>
      </w:r>
      <w:r>
        <w:rPr>
          <w:rFonts w:ascii="Verdana" w:hAnsi="Verdana" w:cs="Verdana"/>
          <w:spacing w:val="-6"/>
          <w:sz w:val="22"/>
          <w:szCs w:val="22"/>
          <w:lang w:val="es-ES" w:eastAsia="es-ES"/>
        </w:rPr>
        <w:t xml:space="preserve">ante </w:t>
      </w:r>
      <w:r>
        <w:rPr>
          <w:rFonts w:ascii="Verdana" w:hAnsi="Verdana" w:cs="Verdana"/>
          <w:b/>
          <w:bCs/>
          <w:spacing w:val="-6"/>
          <w:sz w:val="22"/>
          <w:szCs w:val="22"/>
          <w:lang w:val="es-ES" w:eastAsia="es-ES"/>
        </w:rPr>
        <w:t xml:space="preserve">artículo 7.2 de la Sesión Ordinaria 40-2016 de 18 de agosto de 2016, </w:t>
      </w:r>
      <w:r>
        <w:rPr>
          <w:rFonts w:ascii="Verdana" w:hAnsi="Verdana" w:cs="Verdana"/>
          <w:spacing w:val="-6"/>
          <w:sz w:val="22"/>
          <w:szCs w:val="22"/>
          <w:lang w:val="es-ES" w:eastAsia="es-ES"/>
        </w:rPr>
        <w:t xml:space="preserve">acuerda cancelar la concesión </w:t>
      </w:r>
      <w:r>
        <w:rPr>
          <w:rFonts w:ascii="Verdana" w:hAnsi="Verdana" w:cs="Verdana"/>
          <w:b/>
          <w:bCs/>
          <w:i/>
          <w:iCs/>
          <w:spacing w:val="-6"/>
          <w:sz w:val="22"/>
          <w:szCs w:val="22"/>
          <w:lang w:val="es-ES" w:eastAsia="es-ES"/>
        </w:rPr>
        <w:t>TSJ-</w:t>
      </w:r>
      <w:r w:rsidR="002D2FEC">
        <w:rPr>
          <w:rFonts w:ascii="Verdana" w:hAnsi="Verdana" w:cs="Verdana"/>
          <w:b/>
          <w:bCs/>
          <w:i/>
          <w:iCs/>
          <w:spacing w:val="-6"/>
          <w:sz w:val="22"/>
          <w:szCs w:val="22"/>
          <w:lang w:val="es-ES" w:eastAsia="es-ES"/>
        </w:rPr>
        <w:t>XXXX</w:t>
      </w:r>
      <w:r>
        <w:rPr>
          <w:rFonts w:ascii="Verdana" w:hAnsi="Verdana" w:cs="Verdana"/>
          <w:b/>
          <w:bCs/>
          <w:i/>
          <w:iCs/>
          <w:spacing w:val="-6"/>
          <w:sz w:val="22"/>
          <w:szCs w:val="22"/>
          <w:lang w:val="es-ES" w:eastAsia="es-ES"/>
        </w:rPr>
        <w:t xml:space="preserve">, </w:t>
      </w:r>
      <w:r>
        <w:rPr>
          <w:rFonts w:ascii="Verdana" w:hAnsi="Verdana" w:cs="Verdana"/>
          <w:spacing w:val="-6"/>
          <w:sz w:val="22"/>
          <w:szCs w:val="22"/>
          <w:lang w:val="es-ES" w:eastAsia="es-ES"/>
        </w:rPr>
        <w:t>por vencimiento del plazo y no gestionar la renovación de la misma. (Léanse folios del 32 al 39 del expediente administrativo)</w:t>
      </w:r>
    </w:p>
    <w:p w:rsidR="00000000" w:rsidRDefault="00983FA4">
      <w:pPr>
        <w:numPr>
          <w:ilvl w:val="0"/>
          <w:numId w:val="1"/>
        </w:numPr>
        <w:kinsoku w:val="0"/>
        <w:overflowPunct w:val="0"/>
        <w:autoSpaceDE/>
        <w:autoSpaceDN/>
        <w:adjustRightInd/>
        <w:spacing w:before="258" w:line="271" w:lineRule="exact"/>
        <w:ind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El recu</w:t>
      </w:r>
      <w:r>
        <w:rPr>
          <w:rFonts w:ascii="Verdana" w:hAnsi="Verdana" w:cs="Verdana"/>
          <w:spacing w:val="-3"/>
          <w:sz w:val="22"/>
          <w:szCs w:val="22"/>
          <w:lang w:val="es-ES" w:eastAsia="es-ES"/>
        </w:rPr>
        <w:t>rrente presenta Recurso de Apelación contra el acuerdo impugnado por considerar que adolece de vicios sustanciales, por cuanto nunca se le notificó acto alguno. (Léanse folios del 7 al 31 del expediente administrativo)</w:t>
      </w:r>
    </w:p>
    <w:p w:rsidR="00000000" w:rsidRDefault="00983FA4">
      <w:pPr>
        <w:numPr>
          <w:ilvl w:val="0"/>
          <w:numId w:val="2"/>
        </w:numPr>
        <w:kinsoku w:val="0"/>
        <w:overflowPunct w:val="0"/>
        <w:autoSpaceDE/>
        <w:autoSpaceDN/>
        <w:adjustRightInd/>
        <w:spacing w:before="269"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7.4.3 de la Sesión Ordinaria 03-2017 de 1 de febrero de 2017,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 xml:space="preserve">DAJ-2017-000187 de 20 de enero de 2017 y rechaza el Recurso </w:t>
      </w:r>
      <w:r>
        <w:rPr>
          <w:rFonts w:ascii="Verdana" w:hAnsi="Verdana" w:cs="Verdana"/>
          <w:b/>
          <w:bCs/>
          <w:sz w:val="22"/>
          <w:szCs w:val="22"/>
          <w:lang w:val="es-ES" w:eastAsia="es-ES"/>
        </w:rPr>
        <w:t xml:space="preserve">de Revocatoria y la Nulidad invocadas por falta de legitimación de quien actúa en representación de la concesionaria por no aportar el Poder que lo faculte a recurrir en su nombre. </w:t>
      </w:r>
      <w:r>
        <w:rPr>
          <w:rFonts w:ascii="Verdana" w:hAnsi="Verdana" w:cs="Verdana"/>
          <w:sz w:val="22"/>
          <w:szCs w:val="22"/>
          <w:lang w:val="es-ES" w:eastAsia="es-ES"/>
        </w:rPr>
        <w:t>(léanse folios del 1 al 5 del expediente administrativo)</w:t>
      </w:r>
    </w:p>
    <w:p w:rsidR="00000000" w:rsidRDefault="00983FA4">
      <w:pPr>
        <w:numPr>
          <w:ilvl w:val="0"/>
          <w:numId w:val="1"/>
        </w:numPr>
        <w:kinsoku w:val="0"/>
        <w:overflowPunct w:val="0"/>
        <w:autoSpaceDE/>
        <w:autoSpaceDN/>
        <w:adjustRightInd/>
        <w:spacing w:before="244" w:line="270"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Se tiene por demostrado </w:t>
      </w:r>
      <w:r>
        <w:rPr>
          <w:rFonts w:ascii="Verdana" w:hAnsi="Verdana" w:cs="Verdana"/>
          <w:b/>
          <w:bCs/>
          <w:spacing w:val="-2"/>
          <w:sz w:val="22"/>
          <w:szCs w:val="22"/>
          <w:lang w:val="es-ES" w:eastAsia="es-ES"/>
        </w:rPr>
        <w:t xml:space="preserve">FEHACIENTEMENTE </w:t>
      </w:r>
      <w:r>
        <w:rPr>
          <w:rFonts w:ascii="Verdana" w:hAnsi="Verdana" w:cs="Verdana"/>
          <w:spacing w:val="-2"/>
          <w:sz w:val="22"/>
          <w:szCs w:val="22"/>
          <w:lang w:val="es-ES" w:eastAsia="es-ES"/>
        </w:rPr>
        <w:t>que el Consejo de Transporte Público, no previno a la recurrente que aportara el Mandato requerido para Legitimar al señor R</w:t>
      </w:r>
      <w:r w:rsidR="002D2FEC">
        <w:rPr>
          <w:rFonts w:ascii="Verdana" w:hAnsi="Verdana" w:cs="Verdana"/>
          <w:spacing w:val="-2"/>
          <w:sz w:val="22"/>
          <w:szCs w:val="22"/>
          <w:lang w:val="es-ES" w:eastAsia="es-ES"/>
        </w:rPr>
        <w:t>.V.C.</w:t>
      </w:r>
      <w:r>
        <w:rPr>
          <w:rFonts w:ascii="Verdana" w:hAnsi="Verdana" w:cs="Verdana"/>
          <w:spacing w:val="-2"/>
          <w:sz w:val="22"/>
          <w:szCs w:val="22"/>
          <w:lang w:val="es-ES" w:eastAsia="es-ES"/>
        </w:rPr>
        <w:t xml:space="preserve"> como su representante y rechazó el Recurso de Revocatoria por falta de Le</w:t>
      </w:r>
      <w:r>
        <w:rPr>
          <w:rFonts w:ascii="Verdana" w:hAnsi="Verdana" w:cs="Verdana"/>
          <w:spacing w:val="-2"/>
          <w:sz w:val="22"/>
          <w:szCs w:val="22"/>
          <w:lang w:val="es-ES" w:eastAsia="es-ES"/>
        </w:rPr>
        <w:t>gitimación. (Léanse folios 193, 198 y 199 del expediente administrativo)</w:t>
      </w:r>
    </w:p>
    <w:p w:rsidR="00000000" w:rsidRDefault="00983FA4">
      <w:pPr>
        <w:kinsoku w:val="0"/>
        <w:overflowPunct w:val="0"/>
        <w:autoSpaceDE/>
        <w:autoSpaceDN/>
        <w:adjustRightInd/>
        <w:spacing w:before="253" w:line="273" w:lineRule="exact"/>
        <w:ind w:left="144"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4.- HECHOS NO PROBADOS</w:t>
      </w:r>
    </w:p>
    <w:p w:rsidR="00000000" w:rsidRDefault="00983FA4">
      <w:pPr>
        <w:kinsoku w:val="0"/>
        <w:overflowPunct w:val="0"/>
        <w:autoSpaceDE/>
        <w:autoSpaceDN/>
        <w:adjustRightInd/>
        <w:spacing w:before="274" w:after="1958" w:line="270" w:lineRule="exact"/>
        <w:ind w:left="144" w:right="72"/>
        <w:textAlignment w:val="baseline"/>
        <w:rPr>
          <w:rFonts w:ascii="Verdana" w:hAnsi="Verdana" w:cs="Verdana"/>
          <w:sz w:val="22"/>
          <w:szCs w:val="22"/>
          <w:lang w:val="es-ES" w:eastAsia="es-ES"/>
        </w:rPr>
      </w:pPr>
      <w:r>
        <w:rPr>
          <w:rFonts w:ascii="Verdana" w:hAnsi="Verdana" w:cs="Verdana"/>
          <w:sz w:val="22"/>
          <w:szCs w:val="22"/>
          <w:lang w:val="es-ES" w:eastAsia="es-ES"/>
        </w:rPr>
        <w:t>Ninguno de importancia para la resolución del presente asunto.</w:t>
      </w:r>
    </w:p>
    <w:p w:rsidR="00000000" w:rsidRDefault="00983FA4">
      <w:pPr>
        <w:widowControl/>
        <w:rPr>
          <w:sz w:val="24"/>
          <w:szCs w:val="24"/>
        </w:rPr>
        <w:sectPr w:rsidR="00000000">
          <w:pgSz w:w="12259" w:h="15792"/>
          <w:pgMar w:top="1500" w:right="1608" w:bottom="396" w:left="1571" w:header="720" w:footer="720" w:gutter="0"/>
          <w:cols w:space="720"/>
          <w:noEndnote/>
        </w:sectPr>
      </w:pPr>
    </w:p>
    <w:p w:rsidR="00000000" w:rsidRDefault="00983FA4">
      <w:pPr>
        <w:kinsoku w:val="0"/>
        <w:overflowPunct w:val="0"/>
        <w:autoSpaceDE/>
        <w:autoSpaceDN/>
        <w:adjustRightInd/>
        <w:spacing w:before="9" w:line="265"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5.- SOBRE EL FONDO</w:t>
      </w:r>
    </w:p>
    <w:p w:rsidR="00000000" w:rsidRDefault="00983FA4">
      <w:pPr>
        <w:kinsoku w:val="0"/>
        <w:overflowPunct w:val="0"/>
        <w:autoSpaceDE/>
        <w:autoSpaceDN/>
        <w:adjustRightInd/>
        <w:spacing w:before="282" w:line="265" w:lineRule="exact"/>
        <w:ind w:left="72" w:right="72"/>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 xml:space="preserve">Al analizar las piezas del presente expediente, se demuestra que la señora </w:t>
      </w:r>
      <w:r>
        <w:rPr>
          <w:rFonts w:ascii="Verdana" w:hAnsi="Verdana" w:cs="Verdana"/>
          <w:b/>
          <w:bCs/>
          <w:spacing w:val="-7"/>
          <w:sz w:val="22"/>
          <w:szCs w:val="22"/>
          <w:lang w:val="es-ES" w:eastAsia="es-ES"/>
        </w:rPr>
        <w:t>P</w:t>
      </w:r>
      <w:r w:rsidR="002D2FEC">
        <w:rPr>
          <w:rFonts w:ascii="Verdana" w:hAnsi="Verdana" w:cs="Verdana"/>
          <w:b/>
          <w:bCs/>
          <w:spacing w:val="-7"/>
          <w:sz w:val="22"/>
          <w:szCs w:val="22"/>
          <w:lang w:val="es-ES" w:eastAsia="es-ES"/>
        </w:rPr>
        <w:t>.M.D.L.A.S.S.</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 xml:space="preserve">quien recurrió el </w:t>
      </w:r>
      <w:r>
        <w:rPr>
          <w:rFonts w:ascii="Verdana" w:hAnsi="Verdana" w:cs="Verdana"/>
          <w:b/>
          <w:bCs/>
          <w:spacing w:val="-7"/>
          <w:sz w:val="22"/>
          <w:szCs w:val="22"/>
          <w:lang w:val="es-ES" w:eastAsia="es-ES"/>
        </w:rPr>
        <w:t xml:space="preserve">artículo 7.2 de la Sesión Ordinaria 40-2016 de 18 de agosto de 2016, </w:t>
      </w:r>
      <w:r>
        <w:rPr>
          <w:rFonts w:ascii="Verdana" w:hAnsi="Verdana" w:cs="Verdana"/>
          <w:spacing w:val="-7"/>
          <w:sz w:val="22"/>
          <w:szCs w:val="22"/>
          <w:lang w:val="es-ES" w:eastAsia="es-ES"/>
        </w:rPr>
        <w:t>a través del señor Rubén Vargas Campos, no aco</w:t>
      </w:r>
      <w:r>
        <w:rPr>
          <w:rFonts w:ascii="Verdana" w:hAnsi="Verdana" w:cs="Verdana"/>
          <w:spacing w:val="-7"/>
          <w:sz w:val="22"/>
          <w:szCs w:val="22"/>
          <w:lang w:val="es-ES" w:eastAsia="es-ES"/>
        </w:rPr>
        <w:t>mpaño a su libelo con el respectivo mandato que legitimara al representante, para actuar en su nombre.</w:t>
      </w:r>
    </w:p>
    <w:p w:rsidR="00000000" w:rsidRDefault="00983FA4">
      <w:pPr>
        <w:kinsoku w:val="0"/>
        <w:overflowPunct w:val="0"/>
        <w:autoSpaceDE/>
        <w:autoSpaceDN/>
        <w:adjustRightInd/>
        <w:spacing w:before="270"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 claro que ese error lo podría haber evidenciado el Consejo de Transporte Público, con solo haber prevenido a la accionante que aportara el Poder respe</w:t>
      </w:r>
      <w:r>
        <w:rPr>
          <w:rFonts w:ascii="Verdana" w:hAnsi="Verdana" w:cs="Verdana"/>
          <w:sz w:val="22"/>
          <w:szCs w:val="22"/>
          <w:lang w:val="es-ES" w:eastAsia="es-ES"/>
        </w:rPr>
        <w:t>ctivo, en cuyo caso, de no hacerlo proceder conforme a derecho.</w:t>
      </w:r>
    </w:p>
    <w:p w:rsidR="00000000" w:rsidRDefault="00983FA4">
      <w:pPr>
        <w:kinsoku w:val="0"/>
        <w:overflowPunct w:val="0"/>
        <w:autoSpaceDE/>
        <w:autoSpaceDN/>
        <w:adjustRightInd/>
        <w:spacing w:before="285"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No obstante, lo dicho, La Junta Directiva del Consejo de Transporte Público, mediante </w:t>
      </w:r>
      <w:r>
        <w:rPr>
          <w:rFonts w:ascii="Verdana" w:hAnsi="Verdana" w:cs="Verdana"/>
          <w:b/>
          <w:bCs/>
          <w:sz w:val="22"/>
          <w:szCs w:val="22"/>
          <w:lang w:val="es-ES" w:eastAsia="es-ES"/>
        </w:rPr>
        <w:t xml:space="preserve">acuerdo 7.4.3 de la Sesión Ordinaria 03-2017 de 1 de febrero de 2017, </w:t>
      </w:r>
      <w:r>
        <w:rPr>
          <w:rFonts w:ascii="Verdana" w:hAnsi="Verdana" w:cs="Verdana"/>
          <w:sz w:val="22"/>
          <w:szCs w:val="22"/>
          <w:lang w:val="es-ES" w:eastAsia="es-ES"/>
        </w:rPr>
        <w:t>conoce y avala el informe de la Dire</w:t>
      </w:r>
      <w:r>
        <w:rPr>
          <w:rFonts w:ascii="Verdana" w:hAnsi="Verdana" w:cs="Verdana"/>
          <w:sz w:val="22"/>
          <w:szCs w:val="22"/>
          <w:lang w:val="es-ES" w:eastAsia="es-ES"/>
        </w:rPr>
        <w:t xml:space="preserve">cción Asuntos Jurídicos el </w:t>
      </w:r>
      <w:r>
        <w:rPr>
          <w:rFonts w:ascii="Verdana" w:hAnsi="Verdana" w:cs="Verdana"/>
          <w:b/>
          <w:bCs/>
          <w:sz w:val="22"/>
          <w:szCs w:val="22"/>
          <w:lang w:val="es-ES" w:eastAsia="es-ES"/>
        </w:rPr>
        <w:t>D</w:t>
      </w:r>
      <w:r w:rsidR="002D2FEC">
        <w:rPr>
          <w:rFonts w:ascii="Verdana" w:hAnsi="Verdana" w:cs="Verdana"/>
          <w:b/>
          <w:bCs/>
          <w:sz w:val="22"/>
          <w:szCs w:val="22"/>
          <w:lang w:val="es-ES" w:eastAsia="es-ES"/>
        </w:rPr>
        <w:t>AJ</w:t>
      </w:r>
      <w:r>
        <w:rPr>
          <w:rFonts w:ascii="Verdana" w:hAnsi="Verdana" w:cs="Verdana"/>
          <w:b/>
          <w:bCs/>
          <w:sz w:val="22"/>
          <w:szCs w:val="22"/>
          <w:lang w:val="es-ES" w:eastAsia="es-ES"/>
        </w:rPr>
        <w:t xml:space="preserve">-2017-000187 de 20 de enero de 2017 y rechaza el recurso de Revocatoria y la Nulidad invocadas por falta de legitimación de quien actúa en representación de la concesionaria por no aportar el Poder que lo faculte a recurrir en </w:t>
      </w:r>
      <w:r>
        <w:rPr>
          <w:rFonts w:ascii="Verdana" w:hAnsi="Verdana" w:cs="Verdana"/>
          <w:b/>
          <w:bCs/>
          <w:sz w:val="22"/>
          <w:szCs w:val="22"/>
          <w:lang w:val="es-ES" w:eastAsia="es-ES"/>
        </w:rPr>
        <w:t xml:space="preserve">su nombre. </w:t>
      </w:r>
      <w:r>
        <w:rPr>
          <w:rFonts w:ascii="Verdana" w:hAnsi="Verdana" w:cs="Verdana"/>
          <w:sz w:val="22"/>
          <w:szCs w:val="22"/>
          <w:lang w:val="es-ES" w:eastAsia="es-ES"/>
        </w:rPr>
        <w:t>(léanse folios del 1 al 5 del expediente administrativo)</w:t>
      </w:r>
    </w:p>
    <w:p w:rsidR="00000000" w:rsidRDefault="00983FA4">
      <w:pPr>
        <w:kinsoku w:val="0"/>
        <w:overflowPunct w:val="0"/>
        <w:autoSpaceDE/>
        <w:autoSpaceDN/>
        <w:adjustRightInd/>
        <w:spacing w:before="270"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El Consejo basándose en el principio de eficiencia, de Justica pronta y cumplida en favor de la administrada a quien le asiste un derecho a la doble instancia, debió antes de rechazar el r</w:t>
      </w:r>
      <w:r>
        <w:rPr>
          <w:rFonts w:ascii="Verdana" w:hAnsi="Verdana" w:cs="Verdana"/>
          <w:spacing w:val="-2"/>
          <w:sz w:val="22"/>
          <w:szCs w:val="22"/>
          <w:lang w:val="es-ES" w:eastAsia="es-ES"/>
        </w:rPr>
        <w:t>ecurso haber prevenido a la recurrente lo pertinente.</w:t>
      </w:r>
    </w:p>
    <w:p w:rsidR="00000000" w:rsidRDefault="00983FA4">
      <w:pPr>
        <w:kinsoku w:val="0"/>
        <w:overflowPunct w:val="0"/>
        <w:autoSpaceDE/>
        <w:autoSpaceDN/>
        <w:adjustRightInd/>
        <w:spacing w:before="276"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previene a la recurrente para que se refiera al acuerdo que le rechaza la revocatoria y ésta se apersona el día 15 de febrero de 2017 y manifiesta que mantiene en todos sus extremos el recur</w:t>
      </w:r>
      <w:r>
        <w:rPr>
          <w:rFonts w:ascii="Verdana" w:hAnsi="Verdana" w:cs="Verdana"/>
          <w:sz w:val="22"/>
          <w:szCs w:val="22"/>
          <w:lang w:val="es-ES" w:eastAsia="es-ES"/>
        </w:rPr>
        <w:t>so presentado en su nombre por el señor R</w:t>
      </w:r>
      <w:r w:rsidR="002D2FEC">
        <w:rPr>
          <w:rFonts w:ascii="Verdana" w:hAnsi="Verdana" w:cs="Verdana"/>
          <w:sz w:val="22"/>
          <w:szCs w:val="22"/>
          <w:lang w:val="es-ES" w:eastAsia="es-ES"/>
        </w:rPr>
        <w:t>.V.C.</w:t>
      </w:r>
      <w:r>
        <w:rPr>
          <w:rFonts w:ascii="Verdana" w:hAnsi="Verdana" w:cs="Verdana"/>
          <w:sz w:val="22"/>
          <w:szCs w:val="22"/>
          <w:lang w:val="es-ES" w:eastAsia="es-ES"/>
        </w:rPr>
        <w:t xml:space="preserve">, cédula de identidad </w:t>
      </w:r>
      <w:r w:rsidR="002D2FEC">
        <w:rPr>
          <w:rFonts w:ascii="Verdana" w:hAnsi="Verdana" w:cs="Verdana"/>
          <w:sz w:val="22"/>
          <w:szCs w:val="22"/>
          <w:lang w:val="es-ES" w:eastAsia="es-ES"/>
        </w:rPr>
        <w:t>…</w:t>
      </w:r>
      <w:r>
        <w:rPr>
          <w:rFonts w:ascii="Verdana" w:hAnsi="Verdana" w:cs="Verdana"/>
          <w:sz w:val="22"/>
          <w:szCs w:val="22"/>
          <w:lang w:val="es-ES" w:eastAsia="es-ES"/>
        </w:rPr>
        <w:t xml:space="preserve"> y en el acto le otorga un poder especial, para todo lo que tenga que ver con el Recurso presentado contra el acuerdo impugnado.(Léase folio 89 del expediente admin</w:t>
      </w:r>
      <w:r>
        <w:rPr>
          <w:rFonts w:ascii="Verdana" w:hAnsi="Verdana" w:cs="Verdana"/>
          <w:sz w:val="22"/>
          <w:szCs w:val="22"/>
          <w:lang w:val="es-ES" w:eastAsia="es-ES"/>
        </w:rPr>
        <w:t>istrativo)</w:t>
      </w:r>
    </w:p>
    <w:p w:rsidR="00000000" w:rsidRDefault="00983FA4">
      <w:pPr>
        <w:kinsoku w:val="0"/>
        <w:overflowPunct w:val="0"/>
        <w:autoSpaceDE/>
        <w:autoSpaceDN/>
        <w:adjustRightInd/>
        <w:spacing w:before="225" w:line="30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Lo anterior queda plenamente determinado en las Resoluciones emitidas por la Contraloría General de la República en cuanto a los dos casos </w:t>
      </w:r>
      <w:r>
        <w:rPr>
          <w:rFonts w:ascii="Verdana" w:hAnsi="Verdana" w:cs="Verdana"/>
          <w:i/>
          <w:iCs/>
          <w:sz w:val="22"/>
          <w:szCs w:val="22"/>
          <w:lang w:val="es-ES" w:eastAsia="es-ES"/>
        </w:rPr>
        <w:t xml:space="preserve">supra </w:t>
      </w:r>
      <w:r>
        <w:rPr>
          <w:rFonts w:ascii="Verdana" w:hAnsi="Verdana" w:cs="Verdana"/>
          <w:sz w:val="22"/>
          <w:szCs w:val="22"/>
          <w:lang w:val="es-ES" w:eastAsia="es-ES"/>
        </w:rPr>
        <w:t>indicados, las cuales, en lo conducente señalan:</w:t>
      </w:r>
    </w:p>
    <w:p w:rsidR="00000000" w:rsidRDefault="00983FA4">
      <w:pPr>
        <w:kinsoku w:val="0"/>
        <w:overflowPunct w:val="0"/>
        <w:autoSpaceDE/>
        <w:autoSpaceDN/>
        <w:adjustRightInd/>
        <w:spacing w:before="726" w:line="196" w:lineRule="exact"/>
        <w:ind w:left="792" w:right="7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Caso Licitación Revisión Técnica Vehicular:</w:t>
      </w:r>
    </w:p>
    <w:p w:rsidR="00000000" w:rsidRDefault="00983FA4">
      <w:pPr>
        <w:kinsoku w:val="0"/>
        <w:overflowPunct w:val="0"/>
        <w:autoSpaceDE/>
        <w:autoSpaceDN/>
        <w:adjustRightInd/>
        <w:spacing w:before="354" w:after="518" w:line="196" w:lineRule="exact"/>
        <w:ind w:left="648" w:right="648"/>
        <w:jc w:val="both"/>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t>..."En este sentido es preciso tener en cuenta que la "representación" y el "contrato de mandato", en sus distintas modalidades, es un instituto propio del derecho civil y no particular del derecho administrativo, a tal punto, que la normativa que existe s</w:t>
      </w:r>
      <w:r>
        <w:rPr>
          <w:rFonts w:ascii="Verdana" w:hAnsi="Verdana" w:cs="Verdana"/>
          <w:b/>
          <w:bCs/>
          <w:i/>
          <w:iCs/>
          <w:spacing w:val="-2"/>
          <w:sz w:val="16"/>
          <w:szCs w:val="16"/>
          <w:lang w:val="es-ES" w:eastAsia="es-ES"/>
        </w:rPr>
        <w:t xml:space="preserve">e ubica no en la Ley de Contratación Administrativa, sino en el Código Civil (ver artículo 54 del Reglamento). A este respecto, observamos que la regulación existente del mandato, en ningún momento califica la sanción, ante la ausencia de requisitos; todo </w:t>
      </w:r>
      <w:r>
        <w:rPr>
          <w:rFonts w:ascii="Verdana" w:hAnsi="Verdana" w:cs="Verdana"/>
          <w:b/>
          <w:bCs/>
          <w:i/>
          <w:iCs/>
          <w:spacing w:val="-2"/>
          <w:sz w:val="16"/>
          <w:szCs w:val="16"/>
          <w:lang w:val="es-ES" w:eastAsia="es-ES"/>
        </w:rPr>
        <w:t>lo contrario, el artículo 1275 del Código Civil establece que aunque el mandatario obrare fuera de los términos del poder (es decir, sin éste) el mandante queda obligado si expresa o tácitamente ratifica las obligaciones contraídas en su nombre, solución c</w:t>
      </w:r>
      <w:r>
        <w:rPr>
          <w:rFonts w:ascii="Verdana" w:hAnsi="Verdana" w:cs="Verdana"/>
          <w:b/>
          <w:bCs/>
          <w:i/>
          <w:iCs/>
          <w:spacing w:val="-2"/>
          <w:sz w:val="16"/>
          <w:szCs w:val="16"/>
          <w:lang w:val="es-ES" w:eastAsia="es-ES"/>
        </w:rPr>
        <w:t>onteste con lo expresado por el artículo 837 del mismo Código, en cuanto indica que</w:t>
      </w:r>
    </w:p>
    <w:p w:rsidR="00000000" w:rsidRDefault="00983FA4">
      <w:pPr>
        <w:widowControl/>
        <w:rPr>
          <w:sz w:val="24"/>
          <w:szCs w:val="24"/>
        </w:rPr>
        <w:sectPr w:rsidR="00000000">
          <w:pgSz w:w="12259" w:h="15792"/>
          <w:pgMar w:top="1460" w:right="1567" w:bottom="266" w:left="1612" w:header="720" w:footer="720" w:gutter="0"/>
          <w:cols w:space="720"/>
          <w:noEndnote/>
        </w:sectPr>
      </w:pPr>
    </w:p>
    <w:p w:rsidR="00000000" w:rsidRDefault="00983FA4">
      <w:pPr>
        <w:kinsoku w:val="0"/>
        <w:overflowPunct w:val="0"/>
        <w:autoSpaceDE/>
        <w:autoSpaceDN/>
        <w:adjustRightInd/>
        <w:spacing w:before="1" w:after="600" w:line="195" w:lineRule="exact"/>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lastRenderedPageBreak/>
        <w:t>la nulidad absoluta no puede subsanarse por confirmación o ratificación de lo actuado. Ergo, si tratándose de</w:t>
      </w:r>
      <w:r>
        <w:rPr>
          <w:rFonts w:ascii="Verdana" w:hAnsi="Verdana" w:cs="Verdana"/>
          <w:b/>
          <w:bCs/>
          <w:i/>
          <w:iCs/>
          <w:sz w:val="16"/>
          <w:szCs w:val="16"/>
          <w:lang w:val="es-ES" w:eastAsia="es-ES"/>
        </w:rPr>
        <w:t>l mandato se permite la ratificación, ello quiere decir que es un defecto convalidable, v.gr., ver en el orden procesal el artículo 299, del Código Procesal Civil. Consecuentemente, al ser un problema de anulabilidad, que según la ley, puede sanearse por r</w:t>
      </w:r>
      <w:r>
        <w:rPr>
          <w:rFonts w:ascii="Verdana" w:hAnsi="Verdana" w:cs="Verdana"/>
          <w:b/>
          <w:bCs/>
          <w:i/>
          <w:iCs/>
          <w:sz w:val="16"/>
          <w:szCs w:val="16"/>
          <w:lang w:val="es-ES" w:eastAsia="es-ES"/>
        </w:rPr>
        <w:t xml:space="preserve">atificación, los efectos de dicha actuación son "ex tunc" es decir, retroactivos. </w:t>
      </w:r>
      <w:r>
        <w:rPr>
          <w:rFonts w:ascii="Verdana" w:hAnsi="Verdana" w:cs="Verdana"/>
          <w:i/>
          <w:iCs/>
          <w:sz w:val="16"/>
          <w:szCs w:val="16"/>
          <w:lang w:val="es-ES" w:eastAsia="es-ES"/>
        </w:rPr>
        <w:t>Queda entonces por definir si esta solución se altera o varía en un procedimiento de contratación administrativa, en el cual existen requisitos sustanciales y formales. Los p</w:t>
      </w:r>
      <w:r>
        <w:rPr>
          <w:rFonts w:ascii="Verdana" w:hAnsi="Verdana" w:cs="Verdana"/>
          <w:i/>
          <w:iCs/>
          <w:sz w:val="16"/>
          <w:szCs w:val="16"/>
          <w:lang w:val="es-ES" w:eastAsia="es-ES"/>
        </w:rPr>
        <w:t>rimeros son aquellos que por su relevancia, no pueden omitirse, menos modificarse, por ejemplo: objeto, plazo, precio, garantías de los productos; los segundos, son aquellos que si bien son importantes, sí pueden ser corregidos, partiendo de una realidad i</w:t>
      </w:r>
      <w:r>
        <w:rPr>
          <w:rFonts w:ascii="Verdana" w:hAnsi="Verdana" w:cs="Verdana"/>
          <w:i/>
          <w:iCs/>
          <w:sz w:val="16"/>
          <w:szCs w:val="16"/>
          <w:lang w:val="es-ES" w:eastAsia="es-ES"/>
        </w:rPr>
        <w:t xml:space="preserve">ndiscutible, cual es que no existe cartel ni oferta perfecta. Distinción que el legislador intentó plasmar en el artículo 33 de Ley de Contratación Administrativa, al indicar que la Administración debe solicitar la corrección de los </w:t>
      </w:r>
      <w:r>
        <w:rPr>
          <w:rFonts w:ascii="Verdana" w:hAnsi="Verdana" w:cs="Verdana"/>
          <w:i/>
          <w:iCs/>
          <w:sz w:val="16"/>
          <w:szCs w:val="16"/>
          <w:u w:val="single"/>
          <w:lang w:val="es-ES" w:eastAsia="es-ES"/>
        </w:rPr>
        <w:t>defectos formales,</w:t>
      </w:r>
      <w:r>
        <w:rPr>
          <w:rFonts w:ascii="Verdana" w:hAnsi="Verdana" w:cs="Verdana"/>
          <w:i/>
          <w:iCs/>
          <w:sz w:val="16"/>
          <w:szCs w:val="16"/>
          <w:lang w:val="es-ES" w:eastAsia="es-ES"/>
        </w:rPr>
        <w:t xml:space="preserve"> no a</w:t>
      </w:r>
      <w:r>
        <w:rPr>
          <w:rFonts w:ascii="Verdana" w:hAnsi="Verdana" w:cs="Verdana"/>
          <w:i/>
          <w:iCs/>
          <w:sz w:val="16"/>
          <w:szCs w:val="16"/>
          <w:lang w:val="es-ES" w:eastAsia="es-ES"/>
        </w:rPr>
        <w:t xml:space="preserve">sí los defectos que incidan en los bienes o servicios, precio, plazo de entrega, ni garantías, en otras palabras, </w:t>
      </w:r>
      <w:r>
        <w:rPr>
          <w:rFonts w:ascii="Verdana" w:hAnsi="Verdana" w:cs="Verdana"/>
          <w:i/>
          <w:iCs/>
          <w:sz w:val="16"/>
          <w:szCs w:val="16"/>
          <w:u w:val="single"/>
          <w:lang w:val="es-ES" w:eastAsia="es-ES"/>
        </w:rPr>
        <w:t>defectos sustanciales.</w:t>
      </w:r>
      <w:r>
        <w:rPr>
          <w:rFonts w:ascii="Verdana" w:hAnsi="Verdana" w:cs="Verdana"/>
          <w:i/>
          <w:iCs/>
          <w:sz w:val="16"/>
          <w:szCs w:val="16"/>
          <w:lang w:val="es-ES" w:eastAsia="es-ES"/>
        </w:rPr>
        <w:t xml:space="preserve"> De igual manera, otras normas aluden a requisitos esenciales o sustanciales, tales como los artículos 4.3 y 56.1 del Re</w:t>
      </w:r>
      <w:r>
        <w:rPr>
          <w:rFonts w:ascii="Verdana" w:hAnsi="Verdana" w:cs="Verdana"/>
          <w:i/>
          <w:iCs/>
          <w:sz w:val="16"/>
          <w:szCs w:val="16"/>
          <w:lang w:val="es-ES" w:eastAsia="es-ES"/>
        </w:rPr>
        <w:t>glamento. Ahora bien, las firmas recurrentes en sus alegatos han citado y resumido la jurisprudencia que en torno a la materia de representación y de poderes ha emitido, en los últimos años, esta Dirección General, antecedentes que reflejan un criterio bas</w:t>
      </w:r>
      <w:r>
        <w:rPr>
          <w:rFonts w:ascii="Verdana" w:hAnsi="Verdana" w:cs="Verdana"/>
          <w:i/>
          <w:iCs/>
          <w:sz w:val="16"/>
          <w:szCs w:val="16"/>
          <w:lang w:val="es-ES" w:eastAsia="es-ES"/>
        </w:rPr>
        <w:t>tante rígido al momento de apreciar vicios en los poderes, con base en los cuales actúan las partes, considerando éstos como requisitos sustanciales. Sin embargo, la Sala Constitucional en su voto número 998-98 ha manifestado que: "Desde este punto de vist</w:t>
      </w:r>
      <w:r>
        <w:rPr>
          <w:rFonts w:ascii="Verdana" w:hAnsi="Verdana" w:cs="Verdana"/>
          <w:i/>
          <w:iCs/>
          <w:sz w:val="16"/>
          <w:szCs w:val="16"/>
          <w:lang w:val="es-ES" w:eastAsia="es-ES"/>
        </w:rPr>
        <w:t>a, pueden ser tenidos como cocontratantes de la administración, tanto personas físicas como jurídicas, nacionales y extranjeras, domiciliadas dentro o fuera del territorio de la República, inclusive entes públicos no estatales; todos con reglas propias par</w:t>
      </w:r>
      <w:r>
        <w:rPr>
          <w:rFonts w:ascii="Verdana" w:hAnsi="Verdana" w:cs="Verdana"/>
          <w:i/>
          <w:iCs/>
          <w:sz w:val="16"/>
          <w:szCs w:val="16"/>
          <w:lang w:val="es-ES" w:eastAsia="es-ES"/>
        </w:rPr>
        <w:t>a acreditar su condición, la que depende de su situación particular. Por ello es que este Tribunal estima que constituye una exageración jurídica y por ello desproporcionada, permitir que se tenga por legitimada la oferta con la sola aceptación de la garan</w:t>
      </w:r>
      <w:r>
        <w:rPr>
          <w:rFonts w:ascii="Verdana" w:hAnsi="Verdana" w:cs="Verdana"/>
          <w:i/>
          <w:iCs/>
          <w:sz w:val="16"/>
          <w:szCs w:val="16"/>
          <w:lang w:val="es-ES" w:eastAsia="es-ES"/>
        </w:rPr>
        <w:t>tía de participación, puesto que ello puede conducir a que esa misma propuesta sea defectuosa porque no (sic) se observen serias omisiones en su legitimación para actuar como oferente, como podría ser la falta de poder otorgado conforme a la ley o la falta</w:t>
      </w:r>
      <w:r>
        <w:rPr>
          <w:rFonts w:ascii="Verdana" w:hAnsi="Verdana" w:cs="Verdana"/>
          <w:i/>
          <w:iCs/>
          <w:sz w:val="16"/>
          <w:szCs w:val="16"/>
          <w:lang w:val="es-ES" w:eastAsia="es-ES"/>
        </w:rPr>
        <w:t xml:space="preserve"> de representación, de capacidad jurídica para actuar y en general, la presencia de vicios jurídicos que </w:t>
      </w:r>
      <w:r>
        <w:rPr>
          <w:rFonts w:ascii="Verdana" w:hAnsi="Verdana" w:cs="Verdana"/>
          <w:i/>
          <w:iCs/>
          <w:sz w:val="16"/>
          <w:szCs w:val="16"/>
          <w:u w:val="single"/>
          <w:lang w:val="es-ES" w:eastAsia="es-ES"/>
        </w:rPr>
        <w:t>al ser sustanciales</w:t>
      </w:r>
      <w:r>
        <w:rPr>
          <w:rFonts w:ascii="Verdana" w:hAnsi="Verdana" w:cs="Verdana"/>
          <w:i/>
          <w:iCs/>
          <w:sz w:val="16"/>
          <w:szCs w:val="16"/>
          <w:lang w:val="es-ES" w:eastAsia="es-ES"/>
        </w:rPr>
        <w:t xml:space="preserve"> podrían traer como consecuencia, o la inexistencia de la oferta frente al concurso público o la imposibilidad de la administración </w:t>
      </w:r>
      <w:r>
        <w:rPr>
          <w:rFonts w:ascii="Verdana" w:hAnsi="Verdana" w:cs="Verdana"/>
          <w:i/>
          <w:iCs/>
          <w:sz w:val="16"/>
          <w:szCs w:val="16"/>
          <w:lang w:val="es-ES" w:eastAsia="es-ES"/>
        </w:rPr>
        <w:t xml:space="preserve">para ejecutar el contrato; pero por otro lado, </w:t>
      </w:r>
      <w:r>
        <w:rPr>
          <w:rFonts w:ascii="Verdana" w:hAnsi="Verdana" w:cs="Verdana"/>
          <w:b/>
          <w:bCs/>
          <w:i/>
          <w:iCs/>
          <w:sz w:val="16"/>
          <w:szCs w:val="16"/>
          <w:u w:val="single"/>
          <w:lang w:val="es-ES" w:eastAsia="es-ES"/>
        </w:rPr>
        <w:t xml:space="preserve">estima la Sala que no es exagerada la </w:t>
      </w:r>
      <w:r w:rsidR="002D2FEC">
        <w:rPr>
          <w:rFonts w:ascii="Verdana" w:hAnsi="Verdana" w:cs="Verdana"/>
          <w:b/>
          <w:bCs/>
          <w:i/>
          <w:iCs/>
          <w:sz w:val="16"/>
          <w:szCs w:val="16"/>
          <w:u w:val="single"/>
          <w:lang w:val="es-ES" w:eastAsia="es-ES"/>
        </w:rPr>
        <w:t>posibilidad</w:t>
      </w:r>
      <w:r>
        <w:rPr>
          <w:rFonts w:ascii="Verdana" w:hAnsi="Verdana" w:cs="Verdana"/>
          <w:b/>
          <w:bCs/>
          <w:i/>
          <w:iCs/>
          <w:sz w:val="16"/>
          <w:szCs w:val="16"/>
          <w:u w:val="single"/>
          <w:lang w:val="es-ES" w:eastAsia="es-ES"/>
        </w:rPr>
        <w:t xml:space="preserve"> de que la administración pueda,  si constata la omisión de uno o varios elementos o requisitos de este rango, prevenir al interesado para que subsane los defect</w:t>
      </w:r>
      <w:r>
        <w:rPr>
          <w:rFonts w:ascii="Verdana" w:hAnsi="Verdana" w:cs="Verdana"/>
          <w:b/>
          <w:bCs/>
          <w:i/>
          <w:iCs/>
          <w:sz w:val="16"/>
          <w:szCs w:val="16"/>
          <w:u w:val="single"/>
          <w:lang w:val="es-ES" w:eastAsia="es-ES"/>
        </w:rPr>
        <w:t xml:space="preserve">os </w:t>
      </w:r>
      <w:r>
        <w:rPr>
          <w:rFonts w:ascii="Verdana" w:hAnsi="Verdana" w:cs="Verdana"/>
          <w:i/>
          <w:iCs/>
          <w:sz w:val="16"/>
          <w:szCs w:val="16"/>
          <w:lang w:val="es-ES" w:eastAsia="es-ES"/>
        </w:rPr>
        <w:t xml:space="preserve"> y denegar la admisibilidad de la oferta en caso de que tales vicios no sean subsanados. Pero hacer descansar esta posibilidad de corrección de errores y </w:t>
      </w:r>
      <w:r>
        <w:rPr>
          <w:rFonts w:ascii="Verdana" w:hAnsi="Verdana" w:cs="Verdana"/>
          <w:i/>
          <w:iCs/>
          <w:sz w:val="16"/>
          <w:szCs w:val="16"/>
          <w:u w:val="single"/>
          <w:lang w:val="es-ES" w:eastAsia="es-ES"/>
        </w:rPr>
        <w:t>vicios no sustanciales</w:t>
      </w:r>
      <w:r>
        <w:rPr>
          <w:rFonts w:ascii="Verdana" w:hAnsi="Verdana" w:cs="Verdana"/>
          <w:i/>
          <w:iCs/>
          <w:sz w:val="16"/>
          <w:szCs w:val="16"/>
          <w:lang w:val="es-ES" w:eastAsia="es-ES"/>
        </w:rPr>
        <w:t xml:space="preserve"> en la condición de definir la existencia jurídica de la oferta en la sola ac</w:t>
      </w:r>
      <w:r>
        <w:rPr>
          <w:rFonts w:ascii="Verdana" w:hAnsi="Verdana" w:cs="Verdana"/>
          <w:i/>
          <w:iCs/>
          <w:sz w:val="16"/>
          <w:szCs w:val="16"/>
          <w:lang w:val="es-ES" w:eastAsia="es-ES"/>
        </w:rPr>
        <w:t>eptación de la garantía de participación, que no deja de ser un simple requisito complementario de la oferta, pero que no puede sustituirla en su valor intrínseco, resulta inconstitucional, porque deja sin efectos de control y como consecuencia, de admisió</w:t>
      </w:r>
      <w:r>
        <w:rPr>
          <w:rFonts w:ascii="Verdana" w:hAnsi="Verdana" w:cs="Verdana"/>
          <w:i/>
          <w:iCs/>
          <w:sz w:val="16"/>
          <w:szCs w:val="16"/>
          <w:lang w:val="es-ES" w:eastAsia="es-ES"/>
        </w:rPr>
        <w:t xml:space="preserve">n, las ofertas que aunque tengan una garantía correcta, no cumplen con </w:t>
      </w:r>
      <w:r>
        <w:rPr>
          <w:rFonts w:ascii="Verdana" w:hAnsi="Verdana" w:cs="Verdana"/>
          <w:i/>
          <w:iCs/>
          <w:sz w:val="16"/>
          <w:szCs w:val="16"/>
          <w:u w:val="single"/>
          <w:lang w:val="es-ES" w:eastAsia="es-ES"/>
        </w:rPr>
        <w:t>los requisitos esenciales</w:t>
      </w:r>
      <w:r>
        <w:rPr>
          <w:rFonts w:ascii="Verdana" w:hAnsi="Verdana" w:cs="Verdana"/>
          <w:i/>
          <w:iCs/>
          <w:sz w:val="16"/>
          <w:szCs w:val="16"/>
          <w:lang w:val="es-ES" w:eastAsia="es-ES"/>
        </w:rPr>
        <w:t xml:space="preserve"> de la ley, el reglamento y el cartel de la licitación [...]" (los subrayados y destacados no son parte del original, ver voto página 43). Lo extractado pone de</w:t>
      </w:r>
      <w:r>
        <w:rPr>
          <w:rFonts w:ascii="Verdana" w:hAnsi="Verdana" w:cs="Verdana"/>
          <w:i/>
          <w:iCs/>
          <w:sz w:val="16"/>
          <w:szCs w:val="16"/>
          <w:lang w:val="es-ES" w:eastAsia="es-ES"/>
        </w:rPr>
        <w:t xml:space="preserve"> manifiesto una contradicción en la resolución de cita, al momento de calificar defectos en la legitimación de los oferentes, pues mientras se dice que son requisitos sustanciales, esenciales, también se dice que son formales, lo que evidencia que no se tr</w:t>
      </w:r>
      <w:r>
        <w:rPr>
          <w:rFonts w:ascii="Verdana" w:hAnsi="Verdana" w:cs="Verdana"/>
          <w:i/>
          <w:iCs/>
          <w:sz w:val="16"/>
          <w:szCs w:val="16"/>
          <w:lang w:val="es-ES" w:eastAsia="es-ES"/>
        </w:rPr>
        <w:t xml:space="preserve">ata de un tema simple de resolver. Sin embargo, la Sala Constitucional en su voto 1420-91, citado en el voto antes referido y por tanto avalado, califica de formales los extremos atinentes a la personería. En efecto, el Tribunal Constitucional señala que: </w:t>
      </w:r>
      <w:r>
        <w:rPr>
          <w:rFonts w:ascii="Verdana" w:hAnsi="Verdana" w:cs="Verdana"/>
          <w:i/>
          <w:iCs/>
          <w:sz w:val="16"/>
          <w:szCs w:val="16"/>
          <w:lang w:val="es-ES" w:eastAsia="es-ES"/>
        </w:rPr>
        <w:t>"[...] 'El proceso de selección del contratista es un acto complejo, que implica necesariamente la confrontación de la oferta que presenta, con el cartel de la licitación y el régimen de legalidad, que informa dicho proceso. La oferta, comúnmente, se integ</w:t>
      </w:r>
      <w:r>
        <w:rPr>
          <w:rFonts w:ascii="Verdana" w:hAnsi="Verdana" w:cs="Verdana"/>
          <w:i/>
          <w:iCs/>
          <w:sz w:val="16"/>
          <w:szCs w:val="16"/>
          <w:lang w:val="es-ES" w:eastAsia="es-ES"/>
        </w:rPr>
        <w:t xml:space="preserve">ra por un cúmulo importante de requisitos: </w:t>
      </w:r>
      <w:r>
        <w:rPr>
          <w:rFonts w:ascii="Verdana" w:hAnsi="Verdana" w:cs="Verdana"/>
          <w:i/>
          <w:iCs/>
          <w:sz w:val="16"/>
          <w:szCs w:val="16"/>
          <w:u w:val="single"/>
          <w:lang w:val="es-ES" w:eastAsia="es-ES"/>
        </w:rPr>
        <w:t>los formales</w:t>
      </w:r>
      <w:r>
        <w:rPr>
          <w:rFonts w:ascii="Verdana" w:hAnsi="Verdana" w:cs="Verdana"/>
          <w:i/>
          <w:iCs/>
          <w:sz w:val="16"/>
          <w:szCs w:val="16"/>
          <w:lang w:val="es-ES" w:eastAsia="es-ES"/>
        </w:rPr>
        <w:t xml:space="preserve"> que son aquellos que la ley previamente ha calificado como importantes de cumplir, como lo son, entre otros, la comprobación de personerías de los firmantes, las declaraciones juradas y certificacione</w:t>
      </w:r>
      <w:r>
        <w:rPr>
          <w:rFonts w:ascii="Verdana" w:hAnsi="Verdana" w:cs="Verdana"/>
          <w:i/>
          <w:iCs/>
          <w:sz w:val="16"/>
          <w:szCs w:val="16"/>
          <w:lang w:val="es-ES" w:eastAsia="es-ES"/>
        </w:rPr>
        <w:t>s que se deben presentar, poderes, etc.; [...]" (el subrayado es parte del texto original, ver voto página 64). Con la entrada en vigencia de la Ley de Contratación Administrativa, se reitera la línea que se había pretendido instaurar con las últimas modif</w:t>
      </w:r>
      <w:r>
        <w:rPr>
          <w:rFonts w:ascii="Verdana" w:hAnsi="Verdana" w:cs="Verdana"/>
          <w:i/>
          <w:iCs/>
          <w:sz w:val="16"/>
          <w:szCs w:val="16"/>
          <w:lang w:val="es-ES" w:eastAsia="es-ES"/>
        </w:rPr>
        <w:t>icaciones hechas al Reglamento de la Contratación Administrativa, concretamente a su artículo 151. A partir de ese momento, cobra mayor fuerza el instituto de la subsanación (expresamente regulado en los artículos 4 de la Ley General de Contratación Admini</w:t>
      </w:r>
      <w:r>
        <w:rPr>
          <w:rFonts w:ascii="Verdana" w:hAnsi="Verdana" w:cs="Verdana"/>
          <w:i/>
          <w:iCs/>
          <w:sz w:val="16"/>
          <w:szCs w:val="16"/>
          <w:lang w:val="es-ES" w:eastAsia="es-ES"/>
        </w:rPr>
        <w:t>strativa y 56 de su Reglamento) y se inicia un esfuerzo importante tanto de los sujetos pasivos, como de este Órgano Contralor, por depurar el procedimiento y clarificar poco a poco cuáles defectos u omisiones pueden corregirse, en apego también al llamado</w:t>
      </w:r>
      <w:r>
        <w:rPr>
          <w:rFonts w:ascii="Verdana" w:hAnsi="Verdana" w:cs="Verdana"/>
          <w:i/>
          <w:iCs/>
          <w:sz w:val="16"/>
          <w:szCs w:val="16"/>
          <w:lang w:val="es-ES" w:eastAsia="es-ES"/>
        </w:rPr>
        <w:t xml:space="preserve"> "principio de eficiencia" y la supremacía del contenido sobre la forma, supremacía que debe verse con la reserva del caso, al ser el procedimiento de contratación esencialmente escrito. Esta nueva corriente se basa en presupuestos tales como que la oferta</w:t>
      </w:r>
      <w:r>
        <w:rPr>
          <w:rFonts w:ascii="Verdana" w:hAnsi="Verdana" w:cs="Verdana"/>
          <w:i/>
          <w:iCs/>
          <w:sz w:val="16"/>
          <w:szCs w:val="16"/>
          <w:lang w:val="es-ES" w:eastAsia="es-ES"/>
        </w:rPr>
        <w:t>, con su sola presentación, se entiende ajustada sustancialmente al cartel, que sólo los incumplimientos</w:t>
      </w:r>
    </w:p>
    <w:p w:rsidR="00000000" w:rsidRDefault="00983FA4">
      <w:pPr>
        <w:widowControl/>
        <w:rPr>
          <w:sz w:val="24"/>
          <w:szCs w:val="24"/>
        </w:rPr>
        <w:sectPr w:rsidR="00000000">
          <w:pgSz w:w="12259" w:h="15782"/>
          <w:pgMar w:top="1260" w:right="2292" w:bottom="366" w:left="2227" w:header="720" w:footer="720" w:gutter="0"/>
          <w:cols w:space="720"/>
          <w:noEndnote/>
        </w:sectPr>
      </w:pPr>
    </w:p>
    <w:p w:rsidR="00000000" w:rsidRDefault="00983FA4">
      <w:pPr>
        <w:kinsoku w:val="0"/>
        <w:overflowPunct w:val="0"/>
        <w:autoSpaceDE/>
        <w:autoSpaceDN/>
        <w:adjustRightInd/>
        <w:spacing w:before="35" w:line="194" w:lineRule="exact"/>
        <w:jc w:val="both"/>
        <w:textAlignment w:val="baseline"/>
        <w:rPr>
          <w:rFonts w:ascii="Verdana" w:hAnsi="Verdana" w:cs="Verdana"/>
          <w:b/>
          <w:bCs/>
          <w:i/>
          <w:iCs/>
          <w:spacing w:val="-2"/>
          <w:sz w:val="16"/>
          <w:szCs w:val="16"/>
          <w:lang w:val="es-ES" w:eastAsia="es-ES"/>
        </w:rPr>
      </w:pPr>
      <w:r>
        <w:rPr>
          <w:rFonts w:ascii="Verdana" w:hAnsi="Verdana" w:cs="Verdana"/>
          <w:i/>
          <w:iCs/>
          <w:spacing w:val="-2"/>
          <w:sz w:val="16"/>
          <w:szCs w:val="16"/>
          <w:lang w:val="es-ES" w:eastAsia="es-ES"/>
        </w:rPr>
        <w:lastRenderedPageBreak/>
        <w:t xml:space="preserve">sustanciales generan la exclusión de la propuesta, que son subsanables los defectos que </w:t>
      </w:r>
      <w:r>
        <w:rPr>
          <w:rFonts w:ascii="Verdana" w:hAnsi="Verdana" w:cs="Verdana"/>
          <w:i/>
          <w:iCs/>
          <w:spacing w:val="-2"/>
          <w:sz w:val="16"/>
          <w:szCs w:val="16"/>
          <w:lang w:val="es-ES" w:eastAsia="es-ES"/>
        </w:rPr>
        <w:t>no signifiquen perjuicio para los otros participantes, que no modifiquen el precio, ni el objeto, o que supongan un beneficio indebido para una parte. A nivel normativo, el instituto de la subsanación no se encuentra regulado con el rigor y la claridad des</w:t>
      </w:r>
      <w:r>
        <w:rPr>
          <w:rFonts w:ascii="Verdana" w:hAnsi="Verdana" w:cs="Verdana"/>
          <w:i/>
          <w:iCs/>
          <w:spacing w:val="-2"/>
          <w:sz w:val="16"/>
          <w:szCs w:val="16"/>
          <w:lang w:val="es-ES" w:eastAsia="es-ES"/>
        </w:rPr>
        <w:t>eados, quizá porque al fin y al cabo se trata de materia casuística, que justifica (en el Reglamento) la existencia de una lista de posibles defectos con carácter ejemplificativo y no taxativo (numerus apertus). En suma, con dicho instituto se busca supera</w:t>
      </w:r>
      <w:r>
        <w:rPr>
          <w:rFonts w:ascii="Verdana" w:hAnsi="Verdana" w:cs="Verdana"/>
          <w:i/>
          <w:iCs/>
          <w:spacing w:val="-2"/>
          <w:sz w:val="16"/>
          <w:szCs w:val="16"/>
          <w:lang w:val="es-ES" w:eastAsia="es-ES"/>
        </w:rPr>
        <w:t>r la concepción sacramental y formalista del procedimiento de contratación administrativa, tan arraigada en nuestro medio, en parte por la rigidez de la interpretación de la normativa de la contratación administrativa, donde la forma se elevó a un fin en s</w:t>
      </w:r>
      <w:r>
        <w:rPr>
          <w:rFonts w:ascii="Verdana" w:hAnsi="Verdana" w:cs="Verdana"/>
          <w:i/>
          <w:iCs/>
          <w:spacing w:val="-2"/>
          <w:sz w:val="16"/>
          <w:szCs w:val="16"/>
          <w:lang w:val="es-ES" w:eastAsia="es-ES"/>
        </w:rPr>
        <w:t>í misma, que en no pocas ocasiones pudo causar distorsiones en la satisfacción oportuna del interés general. Ahora bien, la principal característica de los defectos subsanables -dentro de los cuales figuran parte de los requisitos formales- es que pueden c</w:t>
      </w:r>
      <w:r>
        <w:rPr>
          <w:rFonts w:ascii="Verdana" w:hAnsi="Verdana" w:cs="Verdana"/>
          <w:i/>
          <w:iCs/>
          <w:spacing w:val="-2"/>
          <w:sz w:val="16"/>
          <w:szCs w:val="16"/>
          <w:lang w:val="es-ES" w:eastAsia="es-ES"/>
        </w:rPr>
        <w:t>orregirse, en otras palabras, que sólo puede hablarse de inelegibilidad, si la prevención de la Administración no ha sido atendida y si se valora que esa omisión tiene una relevancia tal que amerite la sanción de "inelegibilidad". Desde esta perspectiva, l</w:t>
      </w:r>
      <w:r>
        <w:rPr>
          <w:rFonts w:ascii="Verdana" w:hAnsi="Verdana" w:cs="Verdana"/>
          <w:i/>
          <w:iCs/>
          <w:spacing w:val="-2"/>
          <w:sz w:val="16"/>
          <w:szCs w:val="16"/>
          <w:lang w:val="es-ES" w:eastAsia="es-ES"/>
        </w:rPr>
        <w:t>as formalidades del procedimiento constituyen una garantía para el administrado y una sujeción al principio de legalidad para la Administración. Con estas bases y dentro de un proceso paulatino, esta Dirección General ha examinado y reexaminado los aspecto</w:t>
      </w:r>
      <w:r>
        <w:rPr>
          <w:rFonts w:ascii="Verdana" w:hAnsi="Verdana" w:cs="Verdana"/>
          <w:i/>
          <w:iCs/>
          <w:spacing w:val="-2"/>
          <w:sz w:val="16"/>
          <w:szCs w:val="16"/>
          <w:lang w:val="es-ES" w:eastAsia="es-ES"/>
        </w:rPr>
        <w:t xml:space="preserve">s susceptibles de subsanación, declarando como insubsanables el precio, condiciones del objeto, garantías, plazo de entrega, poderes, entre otros, argumentando en general, que se trata de aspectos sustanciales, que de una u otra forma definen la selección </w:t>
      </w:r>
      <w:r>
        <w:rPr>
          <w:rFonts w:ascii="Verdana" w:hAnsi="Verdana" w:cs="Verdana"/>
          <w:i/>
          <w:iCs/>
          <w:spacing w:val="-2"/>
          <w:sz w:val="16"/>
          <w:szCs w:val="16"/>
          <w:lang w:val="es-ES" w:eastAsia="es-ES"/>
        </w:rPr>
        <w:t>del contratista y, aceptando la subsanación de otros aspectos como certificaciones, experiencia cuando se encuentre referenciada en la oferta, declaraciones y estados financieros. No obstante, si bien en materia de representación, la propia Sala Constituci</w:t>
      </w:r>
      <w:r>
        <w:rPr>
          <w:rFonts w:ascii="Verdana" w:hAnsi="Verdana" w:cs="Verdana"/>
          <w:i/>
          <w:iCs/>
          <w:spacing w:val="-2"/>
          <w:sz w:val="16"/>
          <w:szCs w:val="16"/>
          <w:lang w:val="es-ES" w:eastAsia="es-ES"/>
        </w:rPr>
        <w:t>onal no ha sido completamente clara al momento de calificar el requisito, lo cierto es que la subsanación en estos casos no incide en el objeto contractual, ni da lugar a obtener ventajas indebidas, ni tampoco a aumentar la calificación obtenida. Lo import</w:t>
      </w:r>
      <w:r>
        <w:rPr>
          <w:rFonts w:ascii="Verdana" w:hAnsi="Verdana" w:cs="Verdana"/>
          <w:i/>
          <w:iCs/>
          <w:spacing w:val="-2"/>
          <w:sz w:val="16"/>
          <w:szCs w:val="16"/>
          <w:lang w:val="es-ES" w:eastAsia="es-ES"/>
        </w:rPr>
        <w:t xml:space="preserve">ante es que la Administración se asegure que quien pretende contratar con ella, tiene poder suficiente para comprometer a la empresa. </w:t>
      </w:r>
      <w:r>
        <w:rPr>
          <w:rFonts w:ascii="Verdana" w:hAnsi="Verdana" w:cs="Verdana"/>
          <w:b/>
          <w:bCs/>
          <w:i/>
          <w:iCs/>
          <w:spacing w:val="-2"/>
          <w:sz w:val="16"/>
          <w:szCs w:val="16"/>
          <w:lang w:val="es-ES" w:eastAsia="es-ES"/>
        </w:rPr>
        <w:t>Por consiguiente y, considerando: a) la buena fe negocial, como principio general, avalado por la propia Sala Constitucion</w:t>
      </w:r>
      <w:r>
        <w:rPr>
          <w:rFonts w:ascii="Verdana" w:hAnsi="Verdana" w:cs="Verdana"/>
          <w:b/>
          <w:bCs/>
          <w:i/>
          <w:iCs/>
          <w:spacing w:val="-2"/>
          <w:sz w:val="16"/>
          <w:szCs w:val="16"/>
          <w:lang w:val="es-ES" w:eastAsia="es-ES"/>
        </w:rPr>
        <w:t xml:space="preserve">al (ver nuestra resolución número 116-99 de las 9:00 horas del 13 de marzo de 1999); b) la voluntad expresada por el poderdante, de ratíficar no sólo las atribuciones del señor Rodríguez, sino también lo actuado por éste, requisito esencial para hablar de </w:t>
      </w:r>
      <w:r>
        <w:rPr>
          <w:rFonts w:ascii="Verdana" w:hAnsi="Verdana" w:cs="Verdana"/>
          <w:b/>
          <w:bCs/>
          <w:i/>
          <w:iCs/>
          <w:spacing w:val="-2"/>
          <w:sz w:val="16"/>
          <w:szCs w:val="16"/>
          <w:lang w:val="es-ES" w:eastAsia="es-ES"/>
        </w:rPr>
        <w:t>subsanación; c) el criterio sostenido por la Sala Constitucional, al aceptar como razonable la prevención para subsanar la omisión de uno o varios elementos y la calificación de defecto "formal"; d) la evolución de nuestra jurisprudencia en materia de subs</w:t>
      </w:r>
      <w:r>
        <w:rPr>
          <w:rFonts w:ascii="Verdana" w:hAnsi="Verdana" w:cs="Verdana"/>
          <w:b/>
          <w:bCs/>
          <w:i/>
          <w:iCs/>
          <w:spacing w:val="-2"/>
          <w:sz w:val="16"/>
          <w:szCs w:val="16"/>
          <w:lang w:val="es-ES" w:eastAsia="es-ES"/>
        </w:rPr>
        <w:t>anación, para distintos aspectos, como por ejemplo, la experiencia de una empresa o sus empleados (ver RSL número 213-98 de 15:30 horas del 29 de julio de 1998 y 245-98 de 10:00 horas del 19 de agosto de 1998, sobre la posibilidad de suplir certificados so</w:t>
      </w:r>
      <w:r>
        <w:rPr>
          <w:rFonts w:ascii="Verdana" w:hAnsi="Verdana" w:cs="Verdana"/>
          <w:b/>
          <w:bCs/>
          <w:i/>
          <w:iCs/>
          <w:spacing w:val="-2"/>
          <w:sz w:val="16"/>
          <w:szCs w:val="16"/>
          <w:lang w:val="es-ES" w:eastAsia="es-ES"/>
        </w:rPr>
        <w:t>bre cualidades o características de los bienes ofrecidos, RSL 33-98 de 11:00 del 13 de febrero de 1998 y 103-98 de las 9:30 horas del 22 de abril de 1998, permitiendo subsanar la omisión de estados financieros; oficio 1390 del 11 de febrero de 1999; la omi</w:t>
      </w:r>
      <w:r>
        <w:rPr>
          <w:rFonts w:ascii="Verdana" w:hAnsi="Verdana" w:cs="Verdana"/>
          <w:b/>
          <w:bCs/>
          <w:i/>
          <w:iCs/>
          <w:spacing w:val="-2"/>
          <w:sz w:val="16"/>
          <w:szCs w:val="16"/>
          <w:lang w:val="es-ES" w:eastAsia="es-ES"/>
        </w:rPr>
        <w:t>sión de documentación técnica, RSL 203-99 de 15:30 horas del 18 de mayo de 1999, entre otras); e) el hecho de que el contrato de mandato se regule en la legislación civil y comercial, no así en la Ley de Contratación Administrativa; f) el que la subsanació</w:t>
      </w:r>
      <w:r>
        <w:rPr>
          <w:rFonts w:ascii="Verdana" w:hAnsi="Verdana" w:cs="Verdana"/>
          <w:b/>
          <w:bCs/>
          <w:i/>
          <w:iCs/>
          <w:spacing w:val="-2"/>
          <w:sz w:val="16"/>
          <w:szCs w:val="16"/>
          <w:lang w:val="es-ES" w:eastAsia="es-ES"/>
        </w:rPr>
        <w:t>n esté legalmente prevista en el ámbito civil, a través de la posibilidad del mandante de ratificar lo actuado por el mandatario; g) el hecho de que el poder originalmente inserto en la propuesta, por su contenido general, carecía de un requisito de eficac</w:t>
      </w:r>
      <w:r>
        <w:rPr>
          <w:rFonts w:ascii="Verdana" w:hAnsi="Verdana" w:cs="Verdana"/>
          <w:b/>
          <w:bCs/>
          <w:i/>
          <w:iCs/>
          <w:spacing w:val="-2"/>
          <w:sz w:val="16"/>
          <w:szCs w:val="16"/>
          <w:lang w:val="es-ES" w:eastAsia="es-ES"/>
        </w:rPr>
        <w:t xml:space="preserve">ia, no así de validez, aún cuando el problema medular no sea subsanar simplemente un poder (documento) sino comprobar a la Administración que la persona que suscribió la plica puede comprometer a la empresa; resolvemos que en este caso, </w:t>
      </w:r>
      <w:r>
        <w:rPr>
          <w:rFonts w:ascii="Verdana" w:hAnsi="Verdana" w:cs="Verdana"/>
          <w:b/>
          <w:bCs/>
          <w:i/>
          <w:iCs/>
          <w:spacing w:val="-2"/>
          <w:sz w:val="16"/>
          <w:szCs w:val="16"/>
          <w:u w:val="single"/>
          <w:lang w:val="es-ES" w:eastAsia="es-ES"/>
        </w:rPr>
        <w:t>dado que el poder e</w:t>
      </w:r>
      <w:r>
        <w:rPr>
          <w:rFonts w:ascii="Verdana" w:hAnsi="Verdana" w:cs="Verdana"/>
          <w:b/>
          <w:bCs/>
          <w:i/>
          <w:iCs/>
          <w:spacing w:val="-2"/>
          <w:sz w:val="16"/>
          <w:szCs w:val="16"/>
          <w:u w:val="single"/>
          <w:lang w:val="es-ES" w:eastAsia="es-ES"/>
        </w:rPr>
        <w:t>special aportado por el señor Herrera Alvarado después de la apertura de ofertas y antes de la decisión final está correcto y que contiene una ratificación de lo actuado, la oferta es elegible,  debiéndose tener por modificados en forma expresa nuestros an</w:t>
      </w:r>
      <w:r>
        <w:rPr>
          <w:rFonts w:ascii="Verdana" w:hAnsi="Verdana" w:cs="Verdana"/>
          <w:b/>
          <w:bCs/>
          <w:i/>
          <w:iCs/>
          <w:spacing w:val="-2"/>
          <w:sz w:val="16"/>
          <w:szCs w:val="16"/>
          <w:u w:val="single"/>
          <w:lang w:val="es-ES" w:eastAsia="es-ES"/>
        </w:rPr>
        <w:t>tecedentes en lo que  resulte pertinente."</w:t>
      </w:r>
      <w:r>
        <w:rPr>
          <w:rFonts w:ascii="Verdana" w:hAnsi="Verdana" w:cs="Verdana"/>
          <w:b/>
          <w:bCs/>
          <w:i/>
          <w:iCs/>
          <w:spacing w:val="-2"/>
          <w:sz w:val="16"/>
          <w:szCs w:val="16"/>
          <w:lang w:val="es-ES" w:eastAsia="es-ES"/>
        </w:rPr>
        <w:t xml:space="preserve"> RSL 231-99 de las 13:00 horas del 7 de junio de 1999</w:t>
      </w:r>
    </w:p>
    <w:p w:rsidR="00000000" w:rsidRDefault="00983FA4">
      <w:pPr>
        <w:kinsoku w:val="0"/>
        <w:overflowPunct w:val="0"/>
        <w:autoSpaceDE/>
        <w:autoSpaceDN/>
        <w:adjustRightInd/>
        <w:spacing w:before="717" w:line="194" w:lineRule="exact"/>
        <w:jc w:val="center"/>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Caso Licitación Gestión Interesada Aeropuerto Internacional Juan Santamaría:</w:t>
      </w:r>
    </w:p>
    <w:p w:rsidR="00000000" w:rsidRDefault="00983FA4">
      <w:pPr>
        <w:kinsoku w:val="0"/>
        <w:overflowPunct w:val="0"/>
        <w:autoSpaceDE/>
        <w:autoSpaceDN/>
        <w:adjustRightInd/>
        <w:spacing w:before="324" w:after="557" w:line="194"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..."Dichos poderes, aportados por el Consorcio junto con su plica, presentan una redacción similar, en algunos casos sin calificar el tipo de poder, como el del señor Brian Bohme (ver hecho probado No.35) y en otros denominándolo "especial", como el del se</w:t>
      </w:r>
      <w:r>
        <w:rPr>
          <w:rFonts w:ascii="Verdana" w:hAnsi="Verdana" w:cs="Verdana"/>
          <w:i/>
          <w:iCs/>
          <w:spacing w:val="-1"/>
          <w:sz w:val="16"/>
          <w:szCs w:val="16"/>
          <w:lang w:val="es-ES" w:eastAsia="es-ES"/>
        </w:rPr>
        <w:t>ñor Walter Patrick Aertker III (ver hecho probado No.37), pero en los tres casos, otorgándolo para "[...1 todos los actos, contratos, acuerdos o convenciones" relacionadas con la Licitación Pública Internacional 01-98. Dichos textos, a nuestro juicio, no c</w:t>
      </w:r>
      <w:r>
        <w:rPr>
          <w:rFonts w:ascii="Verdana" w:hAnsi="Verdana" w:cs="Verdana"/>
          <w:i/>
          <w:iCs/>
          <w:spacing w:val="-1"/>
          <w:sz w:val="16"/>
          <w:szCs w:val="16"/>
          <w:lang w:val="es-ES" w:eastAsia="es-ES"/>
        </w:rPr>
        <w:t>umplen con la especificidad exigida por el artículo</w:t>
      </w:r>
    </w:p>
    <w:p w:rsidR="00000000" w:rsidRDefault="00983FA4">
      <w:pPr>
        <w:widowControl/>
        <w:rPr>
          <w:sz w:val="24"/>
          <w:szCs w:val="24"/>
        </w:rPr>
        <w:sectPr w:rsidR="00000000">
          <w:pgSz w:w="12259" w:h="15782"/>
          <w:pgMar w:top="1480" w:right="2250" w:bottom="241" w:left="2245" w:header="720" w:footer="720" w:gutter="0"/>
          <w:cols w:space="720"/>
          <w:noEndnote/>
        </w:sectPr>
      </w:pPr>
    </w:p>
    <w:p w:rsidR="00000000" w:rsidRDefault="00983FA4">
      <w:pPr>
        <w:kinsoku w:val="0"/>
        <w:overflowPunct w:val="0"/>
        <w:autoSpaceDE/>
        <w:autoSpaceDN/>
        <w:adjustRightInd/>
        <w:spacing w:before="19" w:line="195" w:lineRule="exact"/>
        <w:ind w:left="648" w:right="720"/>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lastRenderedPageBreak/>
        <w:t>1256 del Código Civil, único poder al que no aplica el requisito de constar en escritura pública y de estar inscrito en el Registro Pú</w:t>
      </w:r>
      <w:r>
        <w:rPr>
          <w:rFonts w:ascii="Verdana" w:hAnsi="Verdana" w:cs="Verdana"/>
          <w:i/>
          <w:iCs/>
          <w:sz w:val="16"/>
          <w:szCs w:val="16"/>
          <w:lang w:val="es-ES" w:eastAsia="es-ES"/>
        </w:rPr>
        <w:t>blico. Ese defecto fue puestó en conocimiento del Consorcio ACR, por la propia Administración (ver hecho probado No.33). A raíz de esto, el Consorcio presentó abundante documentación, dentro de la cual ubicamos manifestaciones hechas por los poderdantes (r</w:t>
      </w:r>
      <w:r>
        <w:rPr>
          <w:rFonts w:ascii="Verdana" w:hAnsi="Verdana" w:cs="Verdana"/>
          <w:i/>
          <w:iCs/>
          <w:sz w:val="16"/>
          <w:szCs w:val="16"/>
          <w:lang w:val="es-ES" w:eastAsia="es-ES"/>
        </w:rPr>
        <w:t>epresentantes de las empresas oferentes) que ratifican y convalidan todo lo actuado, a esa fecha, por sus mandatarios (ver hechos probados Nos. 39, 40 y 41). Conforme con la más reciente jurisprudencia emitida por la anterior Dirección General de Contratac</w:t>
      </w:r>
      <w:r>
        <w:rPr>
          <w:rFonts w:ascii="Verdana" w:hAnsi="Verdana" w:cs="Verdana"/>
          <w:i/>
          <w:iCs/>
          <w:sz w:val="16"/>
          <w:szCs w:val="16"/>
          <w:lang w:val="es-ES" w:eastAsia="es-ES"/>
        </w:rPr>
        <w:t xml:space="preserve">ión Administrativa, estimamos que la oferta presentada por el Consorcio ACR -desde el punto de vista de la representación- está correcta, habida cuenta de la ratificación hecha por los poderdantes, que no deja duda de la intención de formular la plica. Lo </w:t>
      </w:r>
      <w:r>
        <w:rPr>
          <w:rFonts w:ascii="Verdana" w:hAnsi="Verdana" w:cs="Verdana"/>
          <w:i/>
          <w:iCs/>
          <w:sz w:val="16"/>
          <w:szCs w:val="16"/>
          <w:lang w:val="es-ES" w:eastAsia="es-ES"/>
        </w:rPr>
        <w:t>anterior, por cuanto hemos admitido que ante la ausencia de regulación en la Ley de Contratación Administrativa, la materia de representación debe verse, para todo efecto, a la luz de la legislación civil, que resulta muy amplia en lo que a convalidación s</w:t>
      </w:r>
      <w:r>
        <w:rPr>
          <w:rFonts w:ascii="Verdana" w:hAnsi="Verdana" w:cs="Verdana"/>
          <w:i/>
          <w:iCs/>
          <w:sz w:val="16"/>
          <w:szCs w:val="16"/>
          <w:lang w:val="es-ES" w:eastAsia="es-ES"/>
        </w:rPr>
        <w:t>e refiere.[...] La especificidad de los poderes especiales, en gran medida responde a que su otorgamiento no está sujeto a mayores requisitos, salvo la claridad de su texto y lo que se disponga para casos particulares, como lo indicado en el Código de Come</w:t>
      </w:r>
      <w:r>
        <w:rPr>
          <w:rFonts w:ascii="Verdana" w:hAnsi="Verdana" w:cs="Verdana"/>
          <w:i/>
          <w:iCs/>
          <w:sz w:val="16"/>
          <w:szCs w:val="16"/>
          <w:lang w:val="es-ES" w:eastAsia="es-ES"/>
        </w:rPr>
        <w:t xml:space="preserve">rcio. De allí que no cualquier poder pueda tenerse como especial, aún y cuando así se titule; si su texto resulta en alguna forma impreciso o ambigüo, no sería en ese tanto válido frente a terceros. En este caso y luego de las aclaraciones, los poderes no </w:t>
      </w:r>
      <w:r>
        <w:rPr>
          <w:rFonts w:ascii="Verdana" w:hAnsi="Verdana" w:cs="Verdana"/>
          <w:i/>
          <w:iCs/>
          <w:sz w:val="16"/>
          <w:szCs w:val="16"/>
          <w:lang w:val="es-ES" w:eastAsia="es-ES"/>
        </w:rPr>
        <w:t xml:space="preserve">sólo se titulan "especiales", sino que también ligan todas las actuaciones de los mandatarios a la Licitación Pública Internacional de mérito, pese a lo cual observamos en su texto una generalidad contraria a la especificidad requerida. Por ejemplo, decir </w:t>
      </w:r>
      <w:r>
        <w:rPr>
          <w:rFonts w:ascii="Verdana" w:hAnsi="Verdana" w:cs="Verdana"/>
          <w:i/>
          <w:iCs/>
          <w:sz w:val="16"/>
          <w:szCs w:val="16"/>
          <w:lang w:val="es-ES" w:eastAsia="es-ES"/>
        </w:rPr>
        <w:t>que se puede instaurar cualquier acción judicial es algo indefinido, que tanto incluye un juicio contencioso, como una acción de inconstitucionalidad, obviando que el poder especial debe ser tan concreto, que ni siquiera se admiten las actuaciones que natu</w:t>
      </w:r>
      <w:r>
        <w:rPr>
          <w:rFonts w:ascii="Verdana" w:hAnsi="Verdana" w:cs="Verdana"/>
          <w:i/>
          <w:iCs/>
          <w:sz w:val="16"/>
          <w:szCs w:val="16"/>
          <w:lang w:val="es-ES" w:eastAsia="es-ES"/>
        </w:rPr>
        <w:t>ralmente se desprendan de otras autorizadas. De igual forma, "autorización para rendir cualquier clase de fianzas o garantías", incluye garantía de participación, de cumplimiento, ambiental y cualquier otra que pudiera surgir o incluso exigirse después. In</w:t>
      </w:r>
      <w:r>
        <w:rPr>
          <w:rFonts w:ascii="Verdana" w:hAnsi="Verdana" w:cs="Verdana"/>
          <w:i/>
          <w:iCs/>
          <w:sz w:val="16"/>
          <w:szCs w:val="16"/>
          <w:lang w:val="es-ES" w:eastAsia="es-ES"/>
        </w:rPr>
        <w:t>cluso notamos que los poderes generalísimos concedidos por las tres empresas oferentes en favor del señor José Alberto Trujillo -representación con base en la cual impugnan el resultado del negocio- presentan en su texto una redacción bastante similar a la</w:t>
      </w:r>
      <w:r>
        <w:rPr>
          <w:rFonts w:ascii="Verdana" w:hAnsi="Verdana" w:cs="Verdana"/>
          <w:i/>
          <w:iCs/>
          <w:sz w:val="16"/>
          <w:szCs w:val="16"/>
          <w:lang w:val="es-ES" w:eastAsia="es-ES"/>
        </w:rPr>
        <w:t xml:space="preserve"> estipulada en los poderes especiales, con la salvedad de que se indica que el poder no se restringe a las actuaciones allí señaladas (ver hecho probado No.42) </w:t>
      </w:r>
      <w:r>
        <w:rPr>
          <w:rFonts w:ascii="Verdana" w:hAnsi="Verdana" w:cs="Verdana"/>
          <w:b/>
          <w:bCs/>
          <w:i/>
          <w:iCs/>
          <w:sz w:val="16"/>
          <w:szCs w:val="16"/>
          <w:lang w:val="es-ES" w:eastAsia="es-ES"/>
        </w:rPr>
        <w:t>Aceptar que en materia de representación se permita la convalidación, permite que si un oferente</w:t>
      </w:r>
      <w:r>
        <w:rPr>
          <w:rFonts w:ascii="Verdana" w:hAnsi="Verdana" w:cs="Verdana"/>
          <w:b/>
          <w:bCs/>
          <w:i/>
          <w:iCs/>
          <w:sz w:val="16"/>
          <w:szCs w:val="16"/>
          <w:lang w:val="es-ES" w:eastAsia="es-ES"/>
        </w:rPr>
        <w:t xml:space="preserve"> actuó con base en un poder general defectuoso, luego pueda no sólo convalidar lo actuado, sino presentar un poder especial para actuaciones posteriores, sin llegar al extremo de que un poder general se subsane sólo con otro poder general, o uno especial ú</w:t>
      </w:r>
      <w:r>
        <w:rPr>
          <w:rFonts w:ascii="Verdana" w:hAnsi="Verdana" w:cs="Verdana"/>
          <w:b/>
          <w:bCs/>
          <w:i/>
          <w:iCs/>
          <w:sz w:val="16"/>
          <w:szCs w:val="16"/>
          <w:lang w:val="es-ES" w:eastAsia="es-ES"/>
        </w:rPr>
        <w:t xml:space="preserve">nicamente con otro de igual naturaleza. Es decir, que en el fondo lo que se ratifica es la actuación y no el documento en sí, pero como en ese punto no acaba el procedimiento, una vez que la Administración ponga al oferente en conocimiento de la situación </w:t>
      </w:r>
      <w:r>
        <w:rPr>
          <w:rFonts w:ascii="Verdana" w:hAnsi="Verdana" w:cs="Verdana"/>
          <w:b/>
          <w:bCs/>
          <w:i/>
          <w:iCs/>
          <w:sz w:val="16"/>
          <w:szCs w:val="16"/>
          <w:lang w:val="es-ES" w:eastAsia="es-ES"/>
        </w:rPr>
        <w:t xml:space="preserve">y éste proceda a atender la prevención, debe existir uno o más personeros con facultades suficientes para representar al oferente, por ejemplo, en materia de aclaración y de subsanación. </w:t>
      </w:r>
      <w:r>
        <w:rPr>
          <w:rFonts w:ascii="Verdana" w:hAnsi="Verdana" w:cs="Verdana"/>
          <w:i/>
          <w:iCs/>
          <w:sz w:val="16"/>
          <w:szCs w:val="16"/>
          <w:lang w:val="es-ES" w:eastAsia="es-ES"/>
        </w:rPr>
        <w:t>En este caso, inicialmente el Consorcio ACR presentó poderes defectuo</w:t>
      </w:r>
      <w:r>
        <w:rPr>
          <w:rFonts w:ascii="Verdana" w:hAnsi="Verdana" w:cs="Verdana"/>
          <w:i/>
          <w:iCs/>
          <w:sz w:val="16"/>
          <w:szCs w:val="16"/>
          <w:lang w:val="es-ES" w:eastAsia="es-ES"/>
        </w:rPr>
        <w:t>sos, que si bien luego aclaró, lo hizo en términos tan generales, que no son de naturaleza especial. De manera que, si los poderdantes ratificaron las actuaciones realizadas hasta la fecha de sus manifestaciones y los poderes continuaban defectuosos, lo ac</w:t>
      </w:r>
      <w:r>
        <w:rPr>
          <w:rFonts w:ascii="Verdana" w:hAnsi="Verdana" w:cs="Verdana"/>
          <w:i/>
          <w:iCs/>
          <w:sz w:val="16"/>
          <w:szCs w:val="16"/>
          <w:lang w:val="es-ES" w:eastAsia="es-ES"/>
        </w:rPr>
        <w:t>tuado por los supuestos representantes con posterioridad a ese momento carece de validez (al no estar ratificado) incluso la propia carta por la cual atienden la prevención de la Administración, a la que adjuntan toda la documentación referida (ver hecho p</w:t>
      </w:r>
      <w:r>
        <w:rPr>
          <w:rFonts w:ascii="Verdana" w:hAnsi="Verdana" w:cs="Verdana"/>
          <w:i/>
          <w:iCs/>
          <w:sz w:val="16"/>
          <w:szCs w:val="16"/>
          <w:lang w:val="es-ES" w:eastAsia="es-ES"/>
        </w:rPr>
        <w:t>robado No.38). 'Tratándose de asuntos propio dé rebresehtación, una prevención de la Administración, debe generar no sólo la respectiva convalidación de lo actuado, sino también la presentación de poderes en regla, ajustados a Derecho, para las actuaciones</w:t>
      </w:r>
      <w:r>
        <w:rPr>
          <w:rFonts w:ascii="Verdana" w:hAnsi="Verdana" w:cs="Verdana"/>
          <w:i/>
          <w:iCs/>
          <w:sz w:val="16"/>
          <w:szCs w:val="16"/>
          <w:lang w:val="es-ES" w:eastAsia="es-ES"/>
        </w:rPr>
        <w:t xml:space="preserve"> posteriores, sin que resulte obligatorio para la Administración una nueva prevención, a riesgo de hacer inacabable el procedimiento. En resumen, consideramos que las actuaciones realizadas por el Consorcio ACR a fin de cumplir con la prevención de la Admi</w:t>
      </w:r>
      <w:r>
        <w:rPr>
          <w:rFonts w:ascii="Verdana" w:hAnsi="Verdana" w:cs="Verdana"/>
          <w:i/>
          <w:iCs/>
          <w:sz w:val="16"/>
          <w:szCs w:val="16"/>
          <w:lang w:val="es-ES" w:eastAsia="es-ES"/>
        </w:rPr>
        <w:t xml:space="preserve">nistración y ajustar su oferta a Derecho omitieron la correcta presentación de poderes antes aludida." </w:t>
      </w:r>
      <w:r w:rsidR="002D2FEC">
        <w:rPr>
          <w:rFonts w:ascii="Verdana" w:hAnsi="Verdana" w:cs="Verdana"/>
          <w:b/>
          <w:bCs/>
          <w:i/>
          <w:iCs/>
          <w:sz w:val="16"/>
          <w:szCs w:val="16"/>
          <w:lang w:val="es-ES" w:eastAsia="es-ES"/>
        </w:rPr>
        <w:t>R-DAGJ</w:t>
      </w:r>
      <w:bookmarkStart w:id="0" w:name="_GoBack"/>
      <w:bookmarkEnd w:id="0"/>
      <w:r>
        <w:rPr>
          <w:rFonts w:ascii="Verdana" w:hAnsi="Verdana" w:cs="Verdana"/>
          <w:b/>
          <w:bCs/>
          <w:i/>
          <w:iCs/>
          <w:sz w:val="16"/>
          <w:szCs w:val="16"/>
          <w:lang w:val="es-ES" w:eastAsia="es-ES"/>
        </w:rPr>
        <w:t>-069-99 de las 15:00 horas del 3 de noviembre de 1999."</w:t>
      </w:r>
    </w:p>
    <w:p w:rsidR="00000000" w:rsidRDefault="00983FA4">
      <w:pPr>
        <w:kinsoku w:val="0"/>
        <w:overflowPunct w:val="0"/>
        <w:autoSpaceDE/>
        <w:autoSpaceDN/>
        <w:adjustRightInd/>
        <w:spacing w:before="616" w:line="311"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línea jurisprudencial vino a innovar lo pertinente y es concordante con el </w:t>
      </w:r>
      <w:r>
        <w:rPr>
          <w:rFonts w:ascii="Verdana" w:hAnsi="Verdana" w:cs="Verdana"/>
          <w:b/>
          <w:bCs/>
          <w:i/>
          <w:iCs/>
          <w:sz w:val="22"/>
          <w:szCs w:val="22"/>
          <w:lang w:val="es-ES" w:eastAsia="es-ES"/>
        </w:rPr>
        <w:t>Principio de</w:t>
      </w:r>
      <w:r>
        <w:rPr>
          <w:rFonts w:ascii="Verdana" w:hAnsi="Verdana" w:cs="Verdana"/>
          <w:b/>
          <w:bCs/>
          <w:i/>
          <w:iCs/>
          <w:sz w:val="22"/>
          <w:szCs w:val="22"/>
          <w:lang w:val="es-ES" w:eastAsia="es-ES"/>
        </w:rPr>
        <w:t xml:space="preserve"> Eficiencia, </w:t>
      </w:r>
      <w:r>
        <w:rPr>
          <w:rFonts w:ascii="Verdana" w:hAnsi="Verdana" w:cs="Verdana"/>
          <w:sz w:val="22"/>
          <w:szCs w:val="22"/>
          <w:lang w:val="es-ES" w:eastAsia="es-ES"/>
        </w:rPr>
        <w:t>no pudiendo abstraerse este Tribunal de tal realidad.</w:t>
      </w:r>
    </w:p>
    <w:p w:rsidR="00000000" w:rsidRDefault="00983FA4">
      <w:pPr>
        <w:kinsoku w:val="0"/>
        <w:overflowPunct w:val="0"/>
        <w:autoSpaceDE/>
        <w:autoSpaceDN/>
        <w:adjustRightInd/>
        <w:spacing w:before="318" w:line="271"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Resolver el caso como se hizo basándose en el hecho de que el señor Rubén Vargas Campos no contaba con la legitimación para actuar sin darle a la</w:t>
      </w:r>
    </w:p>
    <w:p w:rsidR="00000000" w:rsidRDefault="00983FA4">
      <w:pPr>
        <w:widowControl/>
        <w:rPr>
          <w:sz w:val="24"/>
          <w:szCs w:val="24"/>
        </w:rPr>
        <w:sectPr w:rsidR="00000000">
          <w:pgSz w:w="12254" w:h="15845"/>
          <w:pgMar w:top="1280" w:right="1607" w:bottom="369" w:left="1527" w:header="720" w:footer="720" w:gutter="0"/>
          <w:cols w:space="720"/>
          <w:noEndnote/>
        </w:sectPr>
      </w:pPr>
    </w:p>
    <w:p w:rsidR="00000000" w:rsidRDefault="00983FA4">
      <w:pPr>
        <w:kinsoku w:val="0"/>
        <w:overflowPunct w:val="0"/>
        <w:autoSpaceDE/>
        <w:autoSpaceDN/>
        <w:adjustRightInd/>
        <w:spacing w:before="14" w:line="267" w:lineRule="exact"/>
        <w:ind w:right="216"/>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re</w:t>
      </w:r>
      <w:r>
        <w:rPr>
          <w:rFonts w:ascii="Verdana" w:hAnsi="Verdana" w:cs="Verdana"/>
          <w:spacing w:val="-2"/>
          <w:sz w:val="22"/>
          <w:szCs w:val="22"/>
          <w:lang w:val="es-ES" w:eastAsia="es-ES"/>
        </w:rPr>
        <w:t>currente la oportunidad de aportar el poder tal como lo hizo a este Tribunal es a todas luces improcedente y priva a la recurrente de que en primera instancia se valore sus argumentos, claro está si se le hubiera prevenido y la interesada no hubiera aporta</w:t>
      </w:r>
      <w:r>
        <w:rPr>
          <w:rFonts w:ascii="Verdana" w:hAnsi="Verdana" w:cs="Verdana"/>
          <w:spacing w:val="-2"/>
          <w:sz w:val="22"/>
          <w:szCs w:val="22"/>
          <w:lang w:val="es-ES" w:eastAsia="es-ES"/>
        </w:rPr>
        <w:t>do el poder, el CTP, quedaba en la ineludible posición de rechazar por Legitimación el libelo presentado, pero como se determina en la especie no previno a la recurrente lo pertinente.</w:t>
      </w:r>
    </w:p>
    <w:p w:rsidR="00000000" w:rsidRDefault="00983FA4">
      <w:pPr>
        <w:kinsoku w:val="0"/>
        <w:overflowPunct w:val="0"/>
        <w:autoSpaceDE/>
        <w:autoSpaceDN/>
        <w:adjustRightInd/>
        <w:spacing w:before="269" w:line="267" w:lineRule="exact"/>
        <w:ind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Este Tribunal considera pertinente, anular el acto que rechazo la revocatoria y devolver el asunto al Consejo de Transporte Público, para que como corresponde procesa conforme a derecho.</w:t>
      </w:r>
    </w:p>
    <w:p w:rsidR="00000000" w:rsidRDefault="00983FA4">
      <w:pPr>
        <w:kinsoku w:val="0"/>
        <w:overflowPunct w:val="0"/>
        <w:autoSpaceDE/>
        <w:autoSpaceDN/>
        <w:adjustRightInd/>
        <w:spacing w:before="275" w:line="267" w:lineRule="exact"/>
        <w:ind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Una vez conocido el Recurso de Revocatoria, y si el mismo es desestim</w:t>
      </w:r>
      <w:r>
        <w:rPr>
          <w:rFonts w:ascii="Verdana" w:hAnsi="Verdana" w:cs="Verdana"/>
          <w:sz w:val="22"/>
          <w:szCs w:val="22"/>
          <w:lang w:val="es-ES" w:eastAsia="es-ES"/>
        </w:rPr>
        <w:t>ado por el CTP, se procederá a elevar la apelación a este Tribunal, por lo que en este momento no se hace referencia alguna al fondo del Recurso.</w:t>
      </w:r>
    </w:p>
    <w:p w:rsidR="00000000" w:rsidRDefault="00983FA4">
      <w:pPr>
        <w:kinsoku w:val="0"/>
        <w:overflowPunct w:val="0"/>
        <w:autoSpaceDE/>
        <w:autoSpaceDN/>
        <w:adjustRightInd/>
        <w:spacing w:before="542" w:line="262"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000000" w:rsidRDefault="00983FA4">
      <w:pPr>
        <w:numPr>
          <w:ilvl w:val="0"/>
          <w:numId w:val="3"/>
        </w:numPr>
        <w:kinsoku w:val="0"/>
        <w:overflowPunct w:val="0"/>
        <w:autoSpaceDE/>
        <w:autoSpaceDN/>
        <w:adjustRightInd/>
        <w:spacing w:before="546" w:line="267" w:lineRule="exact"/>
        <w:ind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anula el </w:t>
      </w:r>
      <w:r>
        <w:rPr>
          <w:rFonts w:ascii="Verdana" w:hAnsi="Verdana" w:cs="Verdana"/>
          <w:b/>
          <w:bCs/>
          <w:sz w:val="22"/>
          <w:szCs w:val="22"/>
          <w:lang w:val="es-ES" w:eastAsia="es-ES"/>
        </w:rPr>
        <w:t xml:space="preserve">acuerdo 7.4.3 de la Sesión Ordinaria 03-2017 de 1 de febrero de 2017, </w:t>
      </w:r>
      <w:r>
        <w:rPr>
          <w:rFonts w:ascii="Verdana" w:hAnsi="Verdana" w:cs="Verdana"/>
          <w:sz w:val="22"/>
          <w:szCs w:val="22"/>
          <w:lang w:val="es-ES" w:eastAsia="es-ES"/>
        </w:rPr>
        <w:t>dictado por la Junta Directiva del Consejo de Transporte Público. Procédase conforme a derecho.</w:t>
      </w:r>
    </w:p>
    <w:p w:rsidR="00000000" w:rsidRPr="002D2FEC" w:rsidRDefault="00983FA4" w:rsidP="002D2FEC">
      <w:pPr>
        <w:numPr>
          <w:ilvl w:val="0"/>
          <w:numId w:val="4"/>
        </w:numPr>
        <w:kinsoku w:val="0"/>
        <w:overflowPunct w:val="0"/>
        <w:autoSpaceDE/>
        <w:autoSpaceDN/>
        <w:adjustRightInd/>
        <w:spacing w:before="270" w:after="436" w:line="267"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NOTIFIQUESE. </w:t>
      </w:r>
    </w:p>
    <w:p w:rsidR="002D2FEC" w:rsidRPr="00CF40A0" w:rsidRDefault="002D2FEC" w:rsidP="002D2FEC">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2D2FEC" w:rsidRDefault="002D2FEC" w:rsidP="002D2FEC">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2D2FEC" w:rsidRPr="00FC408E" w:rsidRDefault="002D2FEC" w:rsidP="002D2FEC">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2D2FEC" w:rsidRDefault="002D2FEC" w:rsidP="002D2FEC">
      <w:pPr>
        <w:kinsoku w:val="0"/>
        <w:overflowPunct w:val="0"/>
        <w:autoSpaceDE/>
        <w:autoSpaceDN/>
        <w:adjustRightInd/>
        <w:spacing w:before="270" w:after="436" w:line="267" w:lineRule="exact"/>
        <w:jc w:val="both"/>
        <w:textAlignment w:val="baseline"/>
        <w:rPr>
          <w:rFonts w:ascii="Verdana" w:hAnsi="Verdana" w:cs="Verdana"/>
          <w:sz w:val="22"/>
          <w:szCs w:val="22"/>
          <w:lang w:val="es-ES" w:eastAsia="es-ES"/>
        </w:rPr>
      </w:pPr>
    </w:p>
    <w:sectPr w:rsidR="002D2FEC" w:rsidSect="002D2FEC">
      <w:pgSz w:w="12254" w:h="15845"/>
      <w:pgMar w:top="1480" w:right="1420" w:bottom="209" w:left="17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F676"/>
    <w:multiLevelType w:val="singleLevel"/>
    <w:tmpl w:val="AFC83992"/>
    <w:lvl w:ilvl="0">
      <w:start w:val="1"/>
      <w:numFmt w:val="upperRoman"/>
      <w:lvlText w:val="%1.-"/>
      <w:lvlJc w:val="left"/>
      <w:pPr>
        <w:tabs>
          <w:tab w:val="num" w:pos="504"/>
        </w:tabs>
      </w:pPr>
      <w:rPr>
        <w:rFonts w:ascii="Verdana" w:hAnsi="Verdana" w:cs="Verdana"/>
        <w:b/>
        <w:snapToGrid/>
        <w:sz w:val="22"/>
        <w:szCs w:val="22"/>
      </w:rPr>
    </w:lvl>
  </w:abstractNum>
  <w:abstractNum w:abstractNumId="1" w15:restartNumberingAfterBreak="0">
    <w:nsid w:val="078A79B5"/>
    <w:multiLevelType w:val="singleLevel"/>
    <w:tmpl w:val="82E4FA84"/>
    <w:lvl w:ilvl="0">
      <w:start w:val="2"/>
      <w:numFmt w:val="upperLetter"/>
      <w:lvlText w:val="%1)."/>
      <w:lvlJc w:val="left"/>
      <w:pPr>
        <w:tabs>
          <w:tab w:val="num" w:pos="576"/>
        </w:tabs>
        <w:ind w:left="144"/>
      </w:pPr>
      <w:rPr>
        <w:rFonts w:ascii="Verdana" w:hAnsi="Verdana" w:cs="Verdana"/>
        <w:b/>
        <w:bCs/>
        <w:snapToGrid/>
        <w:spacing w:val="-3"/>
        <w:sz w:val="22"/>
        <w:szCs w:val="22"/>
      </w:rPr>
    </w:lvl>
  </w:abstractNum>
  <w:num w:numId="1">
    <w:abstractNumId w:val="1"/>
  </w:num>
  <w:num w:numId="2">
    <w:abstractNumId w:val="1"/>
    <w:lvlOverride w:ilvl="0">
      <w:lvl w:ilvl="0">
        <w:numFmt w:val="upperLetter"/>
        <w:lvlText w:val="%1)."/>
        <w:lvlJc w:val="left"/>
        <w:pPr>
          <w:tabs>
            <w:tab w:val="num" w:pos="576"/>
          </w:tabs>
          <w:ind w:left="144"/>
        </w:pPr>
        <w:rPr>
          <w:rFonts w:ascii="Verdana" w:hAnsi="Verdana" w:cs="Verdana"/>
          <w:b/>
          <w:snapToGrid/>
          <w:sz w:val="22"/>
          <w:szCs w:val="22"/>
        </w:rPr>
      </w:lvl>
    </w:lvlOverride>
  </w:num>
  <w:num w:numId="3">
    <w:abstractNumId w:val="0"/>
  </w:num>
  <w:num w:numId="4">
    <w:abstractNumId w:val="0"/>
    <w:lvlOverride w:ilvl="0">
      <w:lvl w:ilvl="0">
        <w:numFmt w:val="upperRoman"/>
        <w:lvlText w:val="%1.-"/>
        <w:lvlJc w:val="left"/>
        <w:pPr>
          <w:tabs>
            <w:tab w:val="num" w:pos="504"/>
          </w:tabs>
        </w:pPr>
        <w:rPr>
          <w:rFonts w:ascii="Verdana" w:hAnsi="Verdana" w:cs="Verdana"/>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EC"/>
    <w:rsid w:val="002D2FEC"/>
    <w:rsid w:val="00983FA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D58E2"/>
  <w14:defaultImageDpi w14:val="0"/>
  <w15:docId w15:val="{4A4FE37F-14CD-4375-A7D5-393829D9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2FEC"/>
    <w:rPr>
      <w:color w:val="0563C1" w:themeColor="hyperlink"/>
      <w:u w:val="single"/>
    </w:rPr>
  </w:style>
  <w:style w:type="character" w:styleId="Mencionar">
    <w:name w:val="Mention"/>
    <w:basedOn w:val="Fuentedeprrafopredeter"/>
    <w:uiPriority w:val="99"/>
    <w:semiHidden/>
    <w:unhideWhenUsed/>
    <w:rsid w:val="002D2FEC"/>
    <w:rPr>
      <w:color w:val="2B579A"/>
      <w:shd w:val="clear" w:color="auto" w:fill="E6E6E6"/>
    </w:rPr>
  </w:style>
  <w:style w:type="paragraph" w:customStyle="1" w:styleId="Style1">
    <w:name w:val="Style 1"/>
    <w:basedOn w:val="Normal"/>
    <w:uiPriority w:val="99"/>
    <w:rsid w:val="002D2FEC"/>
    <w:rPr>
      <w:lang w:val="es-CR"/>
    </w:rPr>
  </w:style>
  <w:style w:type="character" w:customStyle="1" w:styleId="CharacterStyle1">
    <w:name w:val="Character Style 1"/>
    <w:uiPriority w:val="99"/>
    <w:rsid w:val="002D2F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man.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4338</Words>
  <Characters>23864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2017-05-02T21:37:00Z</dcterms:created>
  <dcterms:modified xsi:type="dcterms:W3CDTF">2017-05-02T21:37:00Z</dcterms:modified>
</cp:coreProperties>
</file>